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9C9" w:rsidRDefault="00862D4F" w:rsidP="005E0D59">
      <w:pPr>
        <w:pStyle w:val="Heading1"/>
        <w:numPr>
          <w:ilvl w:val="0"/>
          <w:numId w:val="0"/>
        </w:numPr>
        <w:spacing w:before="0" w:after="240"/>
        <w:jc w:val="center"/>
      </w:pPr>
      <w:bookmarkStart w:id="0" w:name="_Toc266311543"/>
      <w:r>
        <w:t>THE PRACTICE OF LEARNING MATHEMATICS AS COMPRISING THREE PARALLEL PROCESSES: MATHEMATICS, TOOL AND STUDENT</w:t>
      </w:r>
      <w:bookmarkEnd w:id="0"/>
    </w:p>
    <w:p w:rsidR="007E5E00" w:rsidRDefault="007E5E00" w:rsidP="00862D4F">
      <w:pPr>
        <w:spacing w:before="0" w:after="0" w:line="240" w:lineRule="auto"/>
        <w:ind w:firstLine="0"/>
        <w:jc w:val="center"/>
        <w:rPr>
          <w:rFonts w:eastAsia="Times New Roman"/>
          <w:b/>
          <w:color w:val="000000"/>
          <w:sz w:val="28"/>
          <w:szCs w:val="28"/>
          <w:lang w:val="en-US"/>
        </w:rPr>
      </w:pPr>
      <w:r w:rsidRPr="00862D4F">
        <w:rPr>
          <w:rFonts w:eastAsia="Times New Roman"/>
          <w:b/>
          <w:color w:val="000000"/>
          <w:sz w:val="28"/>
          <w:szCs w:val="28"/>
          <w:lang w:val="en-US"/>
        </w:rPr>
        <w:t>Sean Chorney</w:t>
      </w:r>
    </w:p>
    <w:p w:rsidR="00862D4F" w:rsidRPr="00862D4F" w:rsidRDefault="00862D4F" w:rsidP="00862D4F">
      <w:pPr>
        <w:spacing w:before="0" w:after="0" w:line="240" w:lineRule="auto"/>
        <w:ind w:firstLine="0"/>
        <w:jc w:val="center"/>
        <w:rPr>
          <w:rFonts w:eastAsia="Times New Roman"/>
          <w:b/>
          <w:color w:val="000000"/>
          <w:sz w:val="28"/>
          <w:szCs w:val="28"/>
          <w:lang w:val="en-US"/>
        </w:rPr>
      </w:pPr>
    </w:p>
    <w:p w:rsidR="005E0D59" w:rsidRPr="00862D4F" w:rsidRDefault="005E0D59" w:rsidP="005E0D59">
      <w:pPr>
        <w:spacing w:before="0" w:after="0" w:line="240" w:lineRule="auto"/>
        <w:ind w:firstLine="0"/>
        <w:jc w:val="center"/>
        <w:rPr>
          <w:rFonts w:eastAsia="Times New Roman"/>
          <w:color w:val="000000"/>
          <w:sz w:val="24"/>
          <w:szCs w:val="24"/>
          <w:lang w:val="en-US"/>
        </w:rPr>
      </w:pPr>
      <w:r w:rsidRPr="00862D4F">
        <w:rPr>
          <w:rFonts w:eastAsia="Times New Roman"/>
          <w:color w:val="000000"/>
          <w:sz w:val="24"/>
          <w:szCs w:val="24"/>
          <w:lang w:val="en-US"/>
        </w:rPr>
        <w:t>Simon Fraser University</w:t>
      </w:r>
    </w:p>
    <w:p w:rsidR="007E5E00" w:rsidRPr="007E5E00" w:rsidRDefault="00862D4F" w:rsidP="00862D4F">
      <w:pPr>
        <w:spacing w:before="0" w:after="0" w:line="240" w:lineRule="auto"/>
        <w:ind w:firstLine="0"/>
        <w:jc w:val="center"/>
        <w:rPr>
          <w:rFonts w:eastAsia="Times New Roman"/>
          <w:color w:val="000000"/>
          <w:sz w:val="24"/>
          <w:szCs w:val="24"/>
          <w:lang w:val="en-US"/>
        </w:rPr>
      </w:pPr>
      <w:r>
        <w:rPr>
          <w:rFonts w:eastAsia="Times New Roman"/>
          <w:color w:val="000000"/>
          <w:sz w:val="24"/>
          <w:szCs w:val="24"/>
          <w:lang w:val="en-US"/>
        </w:rPr>
        <w:t>sean_chorney</w:t>
      </w:r>
      <w:r w:rsidR="005E0D59">
        <w:rPr>
          <w:rFonts w:eastAsia="Times New Roman"/>
          <w:color w:val="000000"/>
          <w:sz w:val="24"/>
          <w:szCs w:val="24"/>
          <w:lang w:val="en-US"/>
        </w:rPr>
        <w:t xml:space="preserve"> </w:t>
      </w:r>
      <w:r>
        <w:rPr>
          <w:rFonts w:eastAsia="Times New Roman"/>
          <w:color w:val="000000"/>
          <w:sz w:val="24"/>
          <w:szCs w:val="24"/>
          <w:lang w:val="en-US"/>
        </w:rPr>
        <w:t>@</w:t>
      </w:r>
      <w:r w:rsidR="005E0D59">
        <w:rPr>
          <w:rFonts w:eastAsia="Times New Roman"/>
          <w:color w:val="000000"/>
          <w:sz w:val="24"/>
          <w:szCs w:val="24"/>
          <w:lang w:val="en-US"/>
        </w:rPr>
        <w:t xml:space="preserve"> </w:t>
      </w:r>
      <w:r>
        <w:rPr>
          <w:rFonts w:eastAsia="Times New Roman"/>
          <w:color w:val="000000"/>
          <w:sz w:val="24"/>
          <w:szCs w:val="24"/>
          <w:lang w:val="en-US"/>
        </w:rPr>
        <w:t>sfu.ca</w:t>
      </w:r>
    </w:p>
    <w:p w:rsidR="007E5E00" w:rsidRPr="007E5E00" w:rsidRDefault="007E5E00" w:rsidP="007E5E00"/>
    <w:p w:rsidR="001639C9" w:rsidRDefault="001639C9" w:rsidP="001639C9">
      <w:pPr>
        <w:jc w:val="center"/>
        <w:rPr>
          <w:rFonts w:ascii="Times New Roman" w:hAnsi="Times New Roman"/>
          <w:sz w:val="24"/>
          <w:szCs w:val="24"/>
        </w:rPr>
      </w:pPr>
      <w:r w:rsidRPr="00F11DDD">
        <w:rPr>
          <w:rFonts w:ascii="Times New Roman" w:hAnsi="Times New Roman"/>
          <w:i/>
          <w:sz w:val="24"/>
          <w:szCs w:val="24"/>
        </w:rPr>
        <w:t xml:space="preserve">Objects are not already there; </w:t>
      </w:r>
      <w:r w:rsidRPr="00F11DDD">
        <w:rPr>
          <w:rFonts w:ascii="Times New Roman" w:hAnsi="Times New Roman"/>
          <w:i/>
          <w:sz w:val="24"/>
          <w:szCs w:val="24"/>
        </w:rPr>
        <w:br/>
        <w:t>they emerge through specific practices</w:t>
      </w:r>
      <w:r>
        <w:rPr>
          <w:rFonts w:ascii="Times New Roman" w:hAnsi="Times New Roman"/>
          <w:sz w:val="24"/>
          <w:szCs w:val="24"/>
        </w:rPr>
        <w:t>.</w:t>
      </w:r>
      <w:r w:rsidRPr="00040E53">
        <w:rPr>
          <w:rFonts w:ascii="Times New Roman" w:hAnsi="Times New Roman"/>
          <w:sz w:val="24"/>
          <w:szCs w:val="24"/>
        </w:rPr>
        <w:t xml:space="preserve"> </w:t>
      </w:r>
      <w:r>
        <w:rPr>
          <w:rFonts w:ascii="Times New Roman" w:hAnsi="Times New Roman"/>
          <w:sz w:val="24"/>
          <w:szCs w:val="24"/>
        </w:rPr>
        <w:br/>
      </w:r>
      <w:proofErr w:type="gramStart"/>
      <w:r w:rsidRPr="00040E53">
        <w:rPr>
          <w:rFonts w:ascii="Times New Roman" w:hAnsi="Times New Roman"/>
          <w:sz w:val="24"/>
          <w:szCs w:val="24"/>
        </w:rPr>
        <w:t>(</w:t>
      </w:r>
      <w:r>
        <w:rPr>
          <w:rFonts w:ascii="Times New Roman" w:hAnsi="Times New Roman"/>
          <w:sz w:val="24"/>
          <w:szCs w:val="24"/>
        </w:rPr>
        <w:t xml:space="preserve">Barad, </w:t>
      </w:r>
      <w:r w:rsidRPr="004C1923">
        <w:rPr>
          <w:rFonts w:ascii="Times New Roman" w:hAnsi="Times New Roman"/>
          <w:sz w:val="24"/>
          <w:szCs w:val="24"/>
        </w:rPr>
        <w:t>2007</w:t>
      </w:r>
      <w:r>
        <w:rPr>
          <w:rFonts w:ascii="Times New Roman" w:hAnsi="Times New Roman"/>
          <w:sz w:val="24"/>
          <w:szCs w:val="24"/>
        </w:rPr>
        <w:t xml:space="preserve">, </w:t>
      </w:r>
      <w:r w:rsidRPr="00040E53">
        <w:rPr>
          <w:rFonts w:ascii="Times New Roman" w:hAnsi="Times New Roman"/>
          <w:sz w:val="24"/>
          <w:szCs w:val="24"/>
        </w:rPr>
        <w:t>p. 157).</w:t>
      </w:r>
      <w:proofErr w:type="gramEnd"/>
    </w:p>
    <w:p w:rsidR="001639C9" w:rsidRPr="00EA0B02" w:rsidRDefault="001639C9" w:rsidP="001639C9">
      <w:r w:rsidRPr="00EA0B02">
        <w:t>The phrase “mathematics as process” can seem to capture an appropriate approach to mathematical study. However, when looking more closely at mathematics learning and how it is usually portrayed, there is a tendency to speak of it in terms of states and, consequently, nouns</w:t>
      </w:r>
      <w:r>
        <w:rPr>
          <w:rStyle w:val="FootnoteReference"/>
        </w:rPr>
        <w:footnoteReference w:id="1"/>
      </w:r>
      <w:r w:rsidRPr="00EA0B02">
        <w:t>. The learner, the learning situation, the learning tool and the material to be learned are all, usually presented as nouns – and the ‘in-betweens’ are rarely articulated. I propose in this paper that the nouns referred in mathematical leaning misrepresent actuality and the ‘in-betweens’ are a fallacy. When the entities themselves are processes, there are no entities to refer and consequently there are no ‘in-betweens. This paper is about “mathematics as process”, but I believe that switching the terms to read “process as mathematics” is more appropriate, so as to portray the learning of mathematics as emerging from process.</w:t>
      </w:r>
    </w:p>
    <w:p w:rsidR="001639C9" w:rsidRPr="00EA0B02" w:rsidRDefault="001639C9" w:rsidP="001639C9">
      <w:r w:rsidRPr="00EA0B02">
        <w:t xml:space="preserve">The general move of this paper can be identified as being a change from focusing on things, or products, and their corresponding interactions, to looking at and considering processes and emergent phenomena. This paper takes as its starting point not things which interact but the process of emergence and becoming. For Alfred North Whitehead, processes were the ontological realities of our world: for him, processes were all there were. Gill (2010) summarizes Whitehead’s philosophy by stating, </w:t>
      </w:r>
      <w:r w:rsidRPr="00EA0B02">
        <w:lastRenderedPageBreak/>
        <w:t>“processes he privileged over substances as the ultimate building blocks of reality” (p. 29). Substances are derivatives of processes, instantiated by making distinguishing or boundary-making choices.</w:t>
      </w:r>
    </w:p>
    <w:p w:rsidR="001639C9" w:rsidRPr="00EA0B02" w:rsidRDefault="001639C9" w:rsidP="001639C9">
      <w:r w:rsidRPr="00EA0B02">
        <w:t>Although I see myself as working in mathematics education, I draw from a wide group of scholars, including philosophers, scientists and anthropologists, who advocate for a process-oriented approach. This contrasts markedly with the more common product-to-process paradigm, one which our use of language seems to promote. When things are identified prior to activity, there is commonly a focus on interaction leading to notions of anthropocentrism, objectivity and separation. With process as a starting point, however, there is another possible perspective, one which aligns with Whitehead’s and of my readings of two other scholars: Tim Ingold (an anthropologist and philosopher) and Karen Barad (a scientist, feminist and philosopher). Like Whitehead, both Barad and Ingold would claim that there are no things prior to activity. It is not that there is no physical reality, but rather that there is no distinction of identifiable things without a commitment to a particular system of organization. That is, by identifying a thing in the form of a noun, one is making a commitment to the distinction of a particular entity, losing the process that brought it to be. And each language acts by encoding of specific forms of conceptual organization. Linguist Michael Halliday writes:</w:t>
      </w:r>
    </w:p>
    <w:p w:rsidR="001639C9" w:rsidRPr="00EA0B02" w:rsidRDefault="001639C9" w:rsidP="001639C9">
      <w:pPr>
        <w:ind w:left="567"/>
      </w:pPr>
      <w:r w:rsidRPr="00EA0B02">
        <w:t>Languages have different patterns of meaning – different ‘semantic structures’, in the terminology of linguistics. These are significant for the ways their speakers interact with one another; not in the sense that they determine the ways in which the members of the community perceive the world around them, but in the sense that they determine what the members of the community attend to. (1978, p. 198; italics in original)</w:t>
      </w:r>
    </w:p>
    <w:p w:rsidR="001639C9" w:rsidRPr="00EA0B02" w:rsidRDefault="001639C9" w:rsidP="001639C9">
      <w:r w:rsidRPr="00EA0B02">
        <w:t>Thus, what I am arguing here is that when we combine the prevalence of nouns and the process of nominalisation that is in general a key feature of English, together with a specific education community and its register within English for discussing mathematics learning, there is a strong determination of a particular way of viewing matters.</w:t>
      </w:r>
    </w:p>
    <w:p w:rsidR="001639C9" w:rsidRPr="00EA0B02" w:rsidRDefault="001639C9" w:rsidP="001639C9">
      <w:r w:rsidRPr="00EA0B02">
        <w:lastRenderedPageBreak/>
        <w:t xml:space="preserve">One could think of an act of distinction emanating from a photograph. Although the photograph could have been a shot of a movement, the processes of change are lost in the capturing of the photo. Roland Barthes, in Camera Lucida, remarks upon a tendency to identify things and lose process when he describes the general response of an observer to a photograph. “‘Look’, ‘See’, ‘Here it is’; it points a finger at certain vis-à-vis, and cannot escape this pure deictic language.” (1980, p. 5). This need to point and/or refer by way of language seems to be heavily reliant upon the need to communicate and consequently affects one’s perspective. I am challenged in arguing for the reconsideration of ‘things’ (both seen as and grammatically categorized as things) as processes since we are all so accustomed to viewing and speaking of ‘things’ as things. Even in writing, it is difficult to address process without first implicating the product </w:t>
      </w:r>
      <w:r w:rsidRPr="00EA0B02">
        <w:softHyphen/>
        <w:t xml:space="preserve">– as will be evident in the next paragraph. </w:t>
      </w:r>
    </w:p>
    <w:p w:rsidR="001639C9" w:rsidRPr="00EA0B02" w:rsidRDefault="001639C9" w:rsidP="001639C9">
      <w:r w:rsidRPr="00EA0B02">
        <w:t>In this paper, I reflect upon a simple mathematical activity of a student working with a tool. Such a situation might manifest itself when a student constructs a square using a compass and straight edge or uses algebra tiles to model an algebraic expression. Identifying process in these activities as opposed to drawing together individual (and hence separated) elements, such as the tool, the resulting mathematical object or the student, are productive both in avoiding a difficulty emerging from a product-oriented perspective, as well as in permitting identifying alternative perspectives.</w:t>
      </w:r>
    </w:p>
    <w:p w:rsidR="001639C9" w:rsidRPr="00EA0B02" w:rsidRDefault="001639C9" w:rsidP="001639C9">
      <w:r w:rsidRPr="00EA0B02">
        <w:t xml:space="preserve">I propose to address each of the traditional ‘entities’ in mathematical activity, including a student and tool, as process. I begin with mathematics as process, then discuss tool as process, before finally exploring human as process. In the mathematics-as-process section, I discuss the proliferation of mathematical objects in the practice of learning mathematics, both in the mathematics education research literature and in school settings, focusing on some of the problems that result from such discursive practices, such as reification and nominalization. </w:t>
      </w:r>
    </w:p>
    <w:p w:rsidR="001639C9" w:rsidRPr="00EA0B02" w:rsidRDefault="001639C9" w:rsidP="001639C9">
      <w:r w:rsidRPr="00EA0B02">
        <w:t xml:space="preserve">In the tool-as-process section, I use Ingold’s (2011) conception of narrative as a different approach for the consideration of tools. I also draw on the structure of language and how it helps to determine the way we talk about things and the </w:t>
      </w:r>
      <w:r>
        <w:t xml:space="preserve">apparent </w:t>
      </w:r>
      <w:r w:rsidRPr="00EA0B02">
        <w:t xml:space="preserve">reality that is formed from such activity. In the human-as-process section, I argue against the common notion that we, as humans, are distinct and separate from that with which we </w:t>
      </w:r>
      <w:r w:rsidRPr="00EA0B02">
        <w:lastRenderedPageBreak/>
        <w:t xml:space="preserve">engage. I will be specifically focusing on the philosophical challenges entailed when the human is viewed as a unity prior to activity. I will argue that, in fact, the idea of ‘human’ as </w:t>
      </w:r>
      <w:proofErr w:type="gramStart"/>
      <w:r w:rsidRPr="00EA0B02">
        <w:t>an</w:t>
      </w:r>
      <w:proofErr w:type="gramEnd"/>
      <w:r w:rsidRPr="00EA0B02">
        <w:t xml:space="preserve"> entity is a construct that has very specific and fallible assumptions. In contrast, I will be arguing in favour of humans as always developing with other things. </w:t>
      </w:r>
    </w:p>
    <w:p w:rsidR="001639C9" w:rsidRPr="007B4319" w:rsidRDefault="001639C9" w:rsidP="001639C9">
      <w:r w:rsidRPr="007B4319">
        <w:t>The overall conclusion of this paper posits that a shift of interest from product to process has important implications in mathematics education practices.  I argue that process draws attention to activity as opposed to interior attributes within the tool and student; I also contend that the engagement of student and tool is not an interaction of things but is a fusing of process from which mathematics emerges.</w:t>
      </w:r>
    </w:p>
    <w:p w:rsidR="001639C9" w:rsidRPr="00EA0B02" w:rsidRDefault="001639C9" w:rsidP="001639C9">
      <w:r w:rsidRPr="00EA0B02">
        <w:t>Throughout this paper I draw on many scholars from a wide variety of disciplines such as science studies, anthropology and the study of sociological knowledge of science. While none of these disciplines are directly focused on educational issues, let alone issues specific to mathematics education, I suggest that the underlying philosophical considerations are not only relevant, but also pertinent, to mathematics education research and practice.</w:t>
      </w:r>
    </w:p>
    <w:p w:rsidR="001639C9" w:rsidRPr="00C371D0" w:rsidRDefault="001639C9" w:rsidP="001639C9">
      <w:pPr>
        <w:spacing w:before="480" w:line="240" w:lineRule="auto"/>
        <w:ind w:firstLine="0"/>
        <w:rPr>
          <w:b/>
          <w:sz w:val="26"/>
          <w:szCs w:val="26"/>
        </w:rPr>
      </w:pPr>
      <w:r w:rsidRPr="00C371D0">
        <w:rPr>
          <w:b/>
          <w:sz w:val="26"/>
          <w:szCs w:val="26"/>
        </w:rPr>
        <w:t>Mathematics as Process</w:t>
      </w:r>
    </w:p>
    <w:p w:rsidR="001639C9" w:rsidRPr="00EA0B02" w:rsidRDefault="001639C9" w:rsidP="001639C9">
      <w:r w:rsidRPr="00EA0B02">
        <w:t xml:space="preserve">In this section, I begin by describing how mathematics is commonly perceived and practiced as </w:t>
      </w:r>
      <w:proofErr w:type="gramStart"/>
      <w:r w:rsidRPr="00EA0B02">
        <w:t>a</w:t>
      </w:r>
      <w:proofErr w:type="gramEnd"/>
      <w:r w:rsidRPr="00EA0B02">
        <w:t xml:space="preserve"> act of acquiring and accommodating mathematical objects. Drawing on Sfard (2008), Morgan (1998) and Pimm (1987), I look at the common practice in mathematics of constructing objects. Some of what results from this problematic approach </w:t>
      </w:r>
      <w:proofErr w:type="gramStart"/>
      <w:r w:rsidRPr="00EA0B02">
        <w:t>has</w:t>
      </w:r>
      <w:proofErr w:type="gramEnd"/>
      <w:r w:rsidRPr="00EA0B02">
        <w:t xml:space="preserve"> been addressed by Davis</w:t>
      </w:r>
      <w:r>
        <w:t xml:space="preserve"> and Sumara</w:t>
      </w:r>
      <w:r w:rsidRPr="00EA0B02">
        <w:t xml:space="preserve"> (1997). I finish the section with some alternative perspectives proposed by de Freitas and Sinclair (2014).</w:t>
      </w:r>
    </w:p>
    <w:p w:rsidR="001639C9" w:rsidRPr="00EA0B02" w:rsidRDefault="001639C9" w:rsidP="001639C9">
      <w:r w:rsidRPr="00EA0B02">
        <w:t xml:space="preserve">Mathematics is often viewed as a discipline of objects: numbers, Platonic solids, coordinate axes, groups, vector spaces, categories, all of which can be thought of as existing within the world of mathematics. Plato, who originally argued that such entities existed in an ideal realm, may have been the first to make such a claim. Plato adopted the idea that by way of rational thought the individual can access reality by contemplating the true Forms. He initiated the idea that the human mind, by way of reflection and contemplation, could rise above the imperfect world and move to a reality </w:t>
      </w:r>
      <w:r w:rsidRPr="00EA0B02">
        <w:lastRenderedPageBreak/>
        <w:t xml:space="preserve">beyond what was perceived through the senses. Since Plato, philosophers of mathematics </w:t>
      </w:r>
      <w:r w:rsidRPr="00EA0B02">
        <w:softHyphen/>
        <w:t>– and mathematicians as well – have taken a variety of positions on the question of whether mathematical objects are ‘real’. But the use of language can, in and of itself, support the idea that these objects exist: for example, when a number word like “seven” is used as a noun in mathematics (among other things having adjectivally and existentially expressed properties such as ‘being odd’, being prime’, ‘being of the form 2n -1’, …), it apparently implies an existing entity that can be summoned or pointed at. (But as with unicorns, we know saying som</w:t>
      </w:r>
      <w:r>
        <w:t>eth</w:t>
      </w:r>
      <w:r w:rsidRPr="00EA0B02">
        <w:t xml:space="preserve">ing does not make it so.) “Seven” is not seen as a process (especially when one is thinking in terms of cardinality, instead of ordinality). It is a number; a number is a noun and nouns refer to objects that exist. </w:t>
      </w:r>
    </w:p>
    <w:p w:rsidR="001639C9" w:rsidRPr="00EA0B02" w:rsidRDefault="001639C9" w:rsidP="001639C9">
      <w:r w:rsidRPr="00EA0B02">
        <w:t>The idea of number and how it is used and talked about can influence the way it is conceived. Sfard (2008) makes the point that a number such as “seven” could represent a number to count up to or it could be the cardinality of a group of items. What “seven” represents depends on the context in which “seven” is used. She cites Piaget, and also performs her own study, each confirming the well-known result, “</w:t>
      </w:r>
      <w:proofErr w:type="gramStart"/>
      <w:r w:rsidRPr="00EA0B02">
        <w:t>that children</w:t>
      </w:r>
      <w:proofErr w:type="gramEnd"/>
      <w:r w:rsidRPr="00EA0B02">
        <w:t xml:space="preserve"> who know how to count may not use counting to compare sets with respect to number” (p. 8). She describes this quandary from a traditionalist’s perspective, arguing that the latter would contend that if a child can count, his or her understanding of number should allow them to compare the numbers of different sets. </w:t>
      </w:r>
    </w:p>
    <w:p w:rsidR="001639C9" w:rsidRPr="00EA0B02" w:rsidRDefault="001639C9" w:rsidP="001639C9">
      <w:r w:rsidRPr="00EA0B02">
        <w:t xml:space="preserve">She addresses this quandary by noting how the idea of number can have different meanings in different situations. Sfard distinguishes between “seven” as an “entity”, as the result of three” plus “four”, and “seven” as a process. If “3” represents the process of counting to “three”, and “4” the process of counting four more, then “7” is the result of that latter process and is not an entity. She describes this process as the emergent expression of a number word. This number word represents the end result of a process of counting to “three” and then counting “four” more. This distinction between entity and process is very important, because one implies existence and the other implies activity or movement. </w:t>
      </w:r>
    </w:p>
    <w:p w:rsidR="001639C9" w:rsidRPr="00EA0B02" w:rsidRDefault="001639C9" w:rsidP="001639C9">
      <w:r w:rsidRPr="00EA0B02">
        <w:t xml:space="preserve">Mathematics is an interesting discipline in that objects (encoded grammatically as nouns) such as number, and actions such as operations (likewise verbs), such as arithmetic operations, are both prevalent in the discipline. However, operations can also </w:t>
      </w:r>
      <w:r w:rsidRPr="00EA0B02">
        <w:lastRenderedPageBreak/>
        <w:t>be conceived of as objects (and reframed grammatically as nouns). Pimm (1987) points out that written mathematics is interesting in that there are mathematical objects we act upon, but there are also specific symbols for processes which can be understood as entities as well (functions as operations on numbers or as elements of function spaces). Pimm outlines numerous logograms, all of which represent invented mathematical signs, such as the square root symbol or the integral, which can be viewed as a “conceptual object for [the] user” (p. 148). Pimm continues by stating: ”Mathematical notation is an enormously conservative system in that the same symbols are used repeatedly with differing meanings in different contexts, rather than new ones being invented” (p. 148). Consequently, a boundary develops about the square root symbol and it is viewed as an object and not an ever-changing process.</w:t>
      </w:r>
    </w:p>
    <w:p w:rsidR="001639C9" w:rsidRPr="00EA0B02" w:rsidRDefault="001639C9" w:rsidP="001639C9">
      <w:r w:rsidRPr="00EA0B02">
        <w:t>Sfard (2008) argues that objectification in mathematics is helpful in communication. By objectification, she means that the narratives of a construction, such as human agency or time frames, are made invisible and the mathematical practice becomes reified. The process becomes an object represented as a noun that can then be used for other purposes. In presentations of formal mathematics, Brousseau (1997) comments how mathematical presentation often “removes all trace of the history of this knowledge” (p. 21). Balacheff (1988) also refers to how it is necessary to invoke the three “</w:t>
      </w:r>
      <w:proofErr w:type="gramStart"/>
      <w:r w:rsidRPr="00EA0B02">
        <w:t>de’s</w:t>
      </w:r>
      <w:proofErr w:type="gramEnd"/>
      <w:r w:rsidRPr="00EA0B02">
        <w:t>” in developing a successful mathematical proof: detemporalisation, depersonalisation and decontextualisation.</w:t>
      </w:r>
    </w:p>
    <w:p w:rsidR="001639C9" w:rsidRPr="00EA0B02" w:rsidRDefault="001639C9" w:rsidP="001639C9">
      <w:r w:rsidRPr="00EA0B02">
        <w:t xml:space="preserve">Candia Morgan (1998), a mathematics educator and researcher, has looked at written mathematics in different contexts, one of which is the written mathematics in textbooks. Drawing on Halliday’s ideational meta-function of language (one of three he documents), Morgan describes how mathematics texts often “treat relations and other processes as objects” (p 81). This can have its advantages in being able to act on an object. Morgan offers the example of a transformation of a function by identifying that a function is a relation between two quantities, but this relation can be transformed in many different mathematical ways. Morgan subsequently draws on the example of rotation. To rotate is an action, but the act of ‘rotation’ may be used as an object (‘a rotation’, an element of a transformation group of a figure. Classifying the relation as a thing linguistically allows the application of another verb, creating a process of a process, like the transformation of a function. Using a verb as a noun in this way is a </w:t>
      </w:r>
      <w:r w:rsidRPr="00EA0B02">
        <w:lastRenderedPageBreak/>
        <w:t xml:space="preserve">linguistic act that is termed nominalization. Nominalization is the production of process-objects and it is very common in mathematics. </w:t>
      </w:r>
    </w:p>
    <w:p w:rsidR="001639C9" w:rsidRPr="00EA0B02" w:rsidRDefault="001639C9" w:rsidP="001639C9">
      <w:r w:rsidRPr="00EA0B02">
        <w:t xml:space="preserve">Morgan (1998) further points out </w:t>
      </w:r>
      <w:proofErr w:type="gramStart"/>
      <w:r w:rsidRPr="00EA0B02">
        <w:t>that functions</w:t>
      </w:r>
      <w:proofErr w:type="gramEnd"/>
      <w:r w:rsidRPr="00EA0B02">
        <w:t xml:space="preserve"> can be treated as objects as well when they are spoken of as being transformed. Nominalization has benefits when one wants to apply a process to an earlier process. It brings an action in relation with another action, in a reasonably simple way. Not only is nominalization common in mathematics, it also obscures agency. When a process is nominalized and becomes a noun, the doing, the doer, the activity process in general is obscured and left out of the linguistic ‘narrative’. The new noun object has become the subject of the sentence phrase. One perspective may be that the agency has been ‘transferred’ to the process-object. That it is now the process-object that is acting. When these process-objects are used in new ways, when objects are combined with other objects, these new formations can be used in different ways. The field explodes with almost a limitless amount of things. </w:t>
      </w:r>
    </w:p>
    <w:p w:rsidR="001639C9" w:rsidRPr="00EA0B02" w:rsidRDefault="001639C9" w:rsidP="001639C9">
      <w:proofErr w:type="gramStart"/>
      <w:r w:rsidRPr="00EA0B02">
        <w:t>The obscu</w:t>
      </w:r>
      <w:r>
        <w:t>ring of agency (see Wagner, 2007</w:t>
      </w:r>
      <w:r w:rsidRPr="00EA0B02">
        <w:t>) supports the belief in mathematical objects as existing, acting and having power.</w:t>
      </w:r>
      <w:proofErr w:type="gramEnd"/>
      <w:r w:rsidRPr="00EA0B02">
        <w:t xml:space="preserve"> According to Morgan, the obscuring of human agents from the text propagates the view that mathematics is independent and exists separate from human action. For example, in a Pre-Calculus text book (McAskill et al., 2012), in a section on polynomials: “The factor theorem states that x – a is a factor of a polynomial in x, P(x), if and only if </w:t>
      </w:r>
      <w:proofErr w:type="gramStart"/>
      <w:r w:rsidRPr="00EA0B02">
        <w:t>P(</w:t>
      </w:r>
      <w:proofErr w:type="gramEnd"/>
      <w:r w:rsidRPr="00EA0B02">
        <w:t>a) = 0” (p. 127). The term “states” grants power to the mathematics. Along with the referral to the polynomial as a noun, mathematics –in this instance the Factor theorem – is seen here as an existing entity seemingly with a voice (Herbel-Eisenmann, 2007).</w:t>
      </w:r>
    </w:p>
    <w:p w:rsidR="001639C9" w:rsidRPr="00EA0B02" w:rsidRDefault="001639C9" w:rsidP="001639C9">
      <w:r w:rsidRPr="00EA0B02">
        <w:t>When a major part of mathematics focuses on objects, students can experience significant problems, particularly when the objects are intangible (</w:t>
      </w:r>
      <w:r>
        <w:t>Sfard, 1991</w:t>
      </w:r>
      <w:r w:rsidRPr="00EA0B02">
        <w:t>). Mathematics as an object-oriented practice can be framed as a self-contained body of knowledge, one that exists independently of and separate from humans, implying that there is a gap to be crossed. Davis</w:t>
      </w:r>
      <w:r>
        <w:t xml:space="preserve"> and Sumara</w:t>
      </w:r>
      <w:r w:rsidRPr="00EA0B02">
        <w:t xml:space="preserve"> (1997) describes that when mathematics is viewed as an inert, immovable immutable entity, and the student is expected to bridge the gap, mathematics is granted a position of power, for the student is placed in a position of ‘acquiring’ mathematical objects. He further states that when the ‘real’ or ‘actual’ world of mathematics is defined and given primacy over the learner’s </w:t>
      </w:r>
      <w:r w:rsidRPr="00EA0B02">
        <w:lastRenderedPageBreak/>
        <w:t xml:space="preserve">world, there is a positional arrangement such that the student is placed at the lower end of a power regime. </w:t>
      </w:r>
    </w:p>
    <w:p w:rsidR="001639C9" w:rsidRPr="00EA0B02" w:rsidRDefault="001639C9" w:rsidP="001639C9">
      <w:r w:rsidRPr="00EA0B02">
        <w:t xml:space="preserve">One way to approach this separation of mathematics and student is to shift to a perspective so as to consider the practice of learning mathematics as a ‘doing’ as opposed to the acquiring of a “thing”. Identifying mathematical objects, speaking of them, reflecting upon them, seem to be concerns of epistemology – particularly when these objects are discursive constructions. A move to consider mathematical objects as they relate to our sensibilities are more concerned with issues of ontology. In moving mathematical practice to a relational ontological realm, de Freitas and Sinclair (2014) argue that mathematics has a physical aspect to it. The practice of mathematics is tied intricately with things, their movements and their activity. In discussing digital technologies, de Freitas and Sinclair blur the lines of student and the mathematics by describing the human-technology as being the mathematics (my emphasis). When mathematics is viewed as a relational ontological process, it cannot be separated from the activity </w:t>
      </w:r>
      <w:proofErr w:type="gramStart"/>
      <w:r w:rsidRPr="00EA0B02">
        <w:t>nor</w:t>
      </w:r>
      <w:proofErr w:type="gramEnd"/>
      <w:r w:rsidRPr="00EA0B02">
        <w:t xml:space="preserve"> from the student. They argue that mathematics is not just intricately tied in with practice, but also is coupled with the material. In that case, mathematics cannot be considered as a separate entity; it is tied intricately with the tool. Consequently, it seems essential to consider the tool as process. </w:t>
      </w:r>
    </w:p>
    <w:p w:rsidR="001639C9" w:rsidRPr="00C371D0" w:rsidRDefault="001639C9" w:rsidP="001639C9">
      <w:pPr>
        <w:spacing w:before="480" w:line="240" w:lineRule="auto"/>
        <w:ind w:firstLine="0"/>
        <w:rPr>
          <w:b/>
          <w:sz w:val="26"/>
          <w:szCs w:val="26"/>
        </w:rPr>
      </w:pPr>
      <w:r w:rsidRPr="00C371D0">
        <w:rPr>
          <w:b/>
          <w:sz w:val="26"/>
          <w:szCs w:val="26"/>
        </w:rPr>
        <w:t xml:space="preserve">Tool as Process </w:t>
      </w:r>
    </w:p>
    <w:p w:rsidR="001639C9" w:rsidRPr="00EA0B02" w:rsidRDefault="001639C9" w:rsidP="001639C9">
      <w:r w:rsidRPr="00EA0B02">
        <w:t xml:space="preserve">In this section, I first underscore the often-overlooked way in which tools constitute a significant part of mathematical practice. I then draw upon issues of language and performance to shift the focus of tools from being static, inert entities to being processes with movement. </w:t>
      </w:r>
    </w:p>
    <w:p w:rsidR="001639C9" w:rsidRPr="00EA0B02" w:rsidRDefault="001639C9" w:rsidP="001639C9">
      <w:r w:rsidRPr="00EA0B02">
        <w:t xml:space="preserve">Although the notion of tool-based mathematics is often at odds with the idea of mathematics as a more mental discipline, the role of manipulatives has led to a reconceptualisation of the status of such artefacts in mathematical thinking and learning. The tool itself is not a mediator of mathematical learning; it is an actual part of the mathematics itself. The term mediation draws attention to what the tool represents and not the tool as active and contributing to the process. The idea of mediation subjugates the tool into a passive role: the tool is the messenger communicating knowledge or </w:t>
      </w:r>
      <w:r w:rsidRPr="00EA0B02">
        <w:lastRenderedPageBreak/>
        <w:t>relaying an idea. Consequently, use of the word ‘mediation’ also propagates the idea of mathematics as involving a field of objects. Mediation is a concept I s</w:t>
      </w:r>
      <w:r>
        <w:t xml:space="preserve">uggest that has been used as an </w:t>
      </w:r>
      <w:r w:rsidRPr="00EA0B02">
        <w:t xml:space="preserve">‘in-between’ descriptor when mathematics and the learner of mathematics are considered separate and distinct. I term it such because the tool acts as a connector of the two entities. In mathematical practice the tool, described by an in-between descriptor, is often discarded and kept invisible in the accounting for a mathematical result. </w:t>
      </w:r>
    </w:p>
    <w:p w:rsidR="001639C9" w:rsidRPr="00EA0B02" w:rsidRDefault="001639C9" w:rsidP="001639C9">
      <w:r w:rsidRPr="00EA0B02">
        <w:t>Tools in mathematics can span a wide range of possibilities from more commonly used tools such as paper, pencil and ruler to more mathematically-specific tools such as compasses, trigonometric tables or computers. For example, the four-colour theorem, proved by Appel and Haken in 1976 using a computer, is an example of how mathematics adopted an empirical approach to what was traditionally a theoretical science (see Wilson, 2013). The old-school methods of formal written proofs have in some situations been replaced with a reliance on new technologies. As Rotman (2008) observes, “computer-enabled simulation in the sciences – a virtual form of experimentation – is now recognized as a third investigative mode alongside the time-honoured ones of theory and experiment” (p. 57). As was the case historically that mathematics has developed with machines since its beginnings, but now even more so in the rapidly changing digital technologies, tools are significant in the practices of mathematics, as well as its teaching and learning.</w:t>
      </w:r>
    </w:p>
    <w:p w:rsidR="001639C9" w:rsidRPr="00EA0B02" w:rsidRDefault="001639C9" w:rsidP="001639C9">
      <w:r w:rsidRPr="00EA0B02">
        <w:t xml:space="preserve">To argue that concrete tools used in mathematical practice are processes is difficult because they are perceived as solid, rigid structures, but I suggest that the way we talk about tools has a lot to do with our perception of them. In the next sub-section, I focus on two aspects of tools as process. I first discuss how the language surrounding tools leads us to think of them as solid, rigid structures, and then I offer a perspective based on Ingold, framing tools as narrative. </w:t>
      </w:r>
    </w:p>
    <w:p w:rsidR="001639C9" w:rsidRPr="00C371D0" w:rsidRDefault="001639C9" w:rsidP="001639C9">
      <w:pPr>
        <w:spacing w:before="480" w:line="240" w:lineRule="auto"/>
        <w:ind w:firstLine="0"/>
        <w:rPr>
          <w:b/>
          <w:sz w:val="26"/>
          <w:szCs w:val="26"/>
        </w:rPr>
      </w:pPr>
      <w:r w:rsidRPr="00C371D0">
        <w:rPr>
          <w:b/>
          <w:sz w:val="26"/>
          <w:szCs w:val="26"/>
        </w:rPr>
        <w:t>Language and tools</w:t>
      </w:r>
    </w:p>
    <w:p w:rsidR="001639C9" w:rsidRPr="00EA0B02" w:rsidRDefault="001639C9" w:rsidP="001639C9">
      <w:r w:rsidRPr="00EA0B02">
        <w:t xml:space="preserve">To speak or refer to separate physical things involves an act of distinction. By referring to a thing by name, by pointing, by touching, a separation is presumed. For example, when I use the word “pen”, maybe an image comes to mind of a brand of pen, </w:t>
      </w:r>
      <w:r w:rsidRPr="00EA0B02">
        <w:lastRenderedPageBreak/>
        <w:t>a style of pen, the colour of its ink or what a pen is used for, but in each of these considerations, the pen has adjectival attributes that “belong to the pen”. I contend that the acceptance of properties of the pen logically follows from thinking of it as a distinct thing, but also leads to a problematic situation, namely that the pen in and of itself is not a pen, for it can do nothing on its own. It can only express its “pen-ness” in movement.</w:t>
      </w:r>
    </w:p>
    <w:p w:rsidR="001639C9" w:rsidRPr="00EA0B02" w:rsidRDefault="001639C9" w:rsidP="001639C9">
      <w:r w:rsidRPr="00EA0B02">
        <w:t xml:space="preserve">Newman and Holzman (1997) argue that much of our thinking about objects is based within a particular commitment to language. On p. 27, they cite Gergen who claims, “It is through an a priori commitment to particular forms of language […] that we place boundaries around that are taken to be ‘the real’”. I draw upon language at this point because when we refer to tools as having a name or an identity, I suggest that these considerations are based more on language than on the ontological realities of the tool. The structure of the English language and Western thinking, in general, focuses on nouns and subject–predicate forms of expression. The structure of our language has a significant impact on the way we view the world. </w:t>
      </w:r>
      <w:proofErr w:type="gramStart"/>
      <w:r w:rsidRPr="00EA0B02">
        <w:t>“Language”, for Merleau-Ponty, “plays an integral role in our actual weaving and shaping of both the world around us and of our own social being” (Gill, pp. 69-70).</w:t>
      </w:r>
      <w:proofErr w:type="gramEnd"/>
      <w:r w:rsidRPr="00EA0B02">
        <w:t xml:space="preserve"> In our linguistic framing of the world, it seems only ‘natural’ to describe it in terms of nouns. </w:t>
      </w:r>
    </w:p>
    <w:p w:rsidR="001639C9" w:rsidRPr="00EA0B02" w:rsidRDefault="001639C9" w:rsidP="001639C9">
      <w:r w:rsidRPr="00EA0B02">
        <w:t>Lunney Borden (2012) identifies significantly different views of mathematics between the people of Mi’kmaq from Atlantic Canada and the Western world. She highlights that the Mi’kmaq express mathematical ideas as forms of motion. For example, she notes that they have no word for ‘middle’ but instead will say “go half way” (p. 20). While Borden’s purpose is to bridge perspectives between these two groups, she presents us with a people who attend to mathematics differently because of their language practice.</w:t>
      </w:r>
    </w:p>
    <w:p w:rsidR="001639C9" w:rsidRPr="00EA0B02" w:rsidRDefault="001639C9" w:rsidP="001639C9">
      <w:r w:rsidRPr="00EA0B02">
        <w:t xml:space="preserve">The idea of things existing as separate entities independent of each other has become a typical Western way of seeing and doing. “During the nineteenth century, Nietzsche warned against the mistaken tendency to take grammar too seriously: allowing linguistic structure to shape or determine our understanding of the world, believing that the subject-and-predicate structure of language reflects a prior ontological reality of substance and attribute” (in Barad, </w:t>
      </w:r>
      <w:r>
        <w:t>2007, p. 133</w:t>
      </w:r>
      <w:r w:rsidRPr="00EA0B02">
        <w:t xml:space="preserve">). </w:t>
      </w:r>
    </w:p>
    <w:p w:rsidR="001639C9" w:rsidRPr="00EA0B02" w:rsidRDefault="001639C9" w:rsidP="001639C9">
      <w:r w:rsidRPr="00EA0B02">
        <w:lastRenderedPageBreak/>
        <w:t xml:space="preserve">Newman and Holzman (1997) suggest that we understand the complex world by dividing it up into parts. They argue that science, as a discipline, and I suggest mathematics, implements this method and introduces a “relational form of knowing” (p. 36). For example, the “book is red” is a relation between a book and redness. Newman and Holzman take issue with the word “is” in that they claim this use of language is relating the unrelatable. They would argue that redness and book should not have been separated in the first place and such a relation implicates a subject–predicate approach, which they argue is dualistic and leads to a reductionist framing. They further argue that after dividing up the world into parts, there is a communicational need to draw the world back together by implementing words such as “is”. </w:t>
      </w:r>
    </w:p>
    <w:p w:rsidR="001639C9" w:rsidRPr="00EA0B02" w:rsidRDefault="001639C9" w:rsidP="001639C9">
      <w:r w:rsidRPr="00EA0B02">
        <w:t xml:space="preserve">Nouns, as names of things, are then considered not only as separate distinct things in and of themselves, but also have a characteristic of being stable and unified, of having properties that remain constant. “Descartes allowed the subject–predicate form of proposition, and the philosophical tradition derived from it, to dictate his subsequent metaphysical development. For his philosophy, ‘actuality’ meant ‘to be a substance with inhering qualities’” (Gill, p. 140). This view has ramifications in experimental approaches, particularly when the </w:t>
      </w:r>
      <w:proofErr w:type="gramStart"/>
      <w:r w:rsidRPr="00EA0B02">
        <w:t>idea of separate, distinct, stable, characteristics are</w:t>
      </w:r>
      <w:proofErr w:type="gramEnd"/>
      <w:r w:rsidRPr="00EA0B02">
        <w:t xml:space="preserve"> attributed to humans and/or tools. </w:t>
      </w:r>
    </w:p>
    <w:p w:rsidR="001639C9" w:rsidRPr="00EA0B02" w:rsidRDefault="001639C9" w:rsidP="001639C9">
      <w:r w:rsidRPr="00EA0B02">
        <w:t>It seems natural to refer to things in order to identify or describe. The names of physical things such as ‘pen’, ‘car’ and ‘John’ are nouns and such references have advantages in certain contexts, but this structure supports a perspective that things initially exist as independent and then, at times, interact. Much of the discussion of tools has to do with the way we talk about things as well as the position from which we make our observations. Certain ways of talking about tools leads to a projection of existence.</w:t>
      </w:r>
    </w:p>
    <w:p w:rsidR="001639C9" w:rsidRPr="00EA0B02" w:rsidRDefault="001639C9" w:rsidP="001639C9">
      <w:pPr>
        <w:ind w:left="709" w:right="1138"/>
      </w:pPr>
      <w:r w:rsidRPr="00EA0B02">
        <w:t>…language determines reality,” and we are inclined to say, “</w:t>
      </w:r>
      <w:proofErr w:type="gramStart"/>
      <w:r w:rsidRPr="00EA0B02">
        <w:t>we</w:t>
      </w:r>
      <w:proofErr w:type="gramEnd"/>
      <w:r w:rsidRPr="00EA0B02">
        <w:t xml:space="preserve"> divide this sense-data up, once we are linguistically capable of doing so, into “real,” like tables, and chairs in our normal waking state, and “unreal,” like things in dreams, mirages, or optical illusions. Part of the problem resides in the fact that “reality” in our grammar, functions as a noun or thing. The logic of our language seems to </w:t>
      </w:r>
      <w:r w:rsidRPr="00EA0B02">
        <w:lastRenderedPageBreak/>
        <w:t xml:space="preserve">indicate that we can discover reality like we can discover fossils or virtues. (Whorf, </w:t>
      </w:r>
      <w:r>
        <w:t>1956</w:t>
      </w:r>
      <w:r w:rsidRPr="00EA0B02">
        <w:t>, p. 52)</w:t>
      </w:r>
    </w:p>
    <w:p w:rsidR="001639C9" w:rsidRPr="00EA0B02" w:rsidRDefault="001639C9" w:rsidP="001639C9">
      <w:pPr>
        <w:ind w:right="429"/>
      </w:pPr>
      <w:r w:rsidRPr="00EA0B02">
        <w:t>Language is so predominant in thinking, to dismiss, for example, the actual entity of “pen” would be highly questionable; however, what makes a pen a pen?  Is it its attributes or its use in practice, or is it something else? Language breaks up reality into parts. This however does not necessarily reflect what is real. Therefore, I suggest it is important not to let language determine reality, but to be aware that “things” may not be as simple as their name or properties might imply. To approach an activity with a predisposed notion of entities as being separate a priori is an assumption and a specific approach. A pen may seem to have a boundary, a distinct line around its physical presence, but I contend the boundary is blurred when it is being used as a pen.</w:t>
      </w:r>
    </w:p>
    <w:p w:rsidR="001639C9" w:rsidRPr="00C371D0" w:rsidRDefault="001639C9" w:rsidP="001639C9">
      <w:pPr>
        <w:spacing w:before="480" w:line="240" w:lineRule="auto"/>
        <w:ind w:firstLine="0"/>
        <w:rPr>
          <w:b/>
          <w:sz w:val="26"/>
          <w:szCs w:val="26"/>
        </w:rPr>
      </w:pPr>
      <w:r w:rsidRPr="00C371D0">
        <w:rPr>
          <w:b/>
          <w:sz w:val="26"/>
          <w:szCs w:val="26"/>
        </w:rPr>
        <w:t>Tools as narratives</w:t>
      </w:r>
    </w:p>
    <w:p w:rsidR="001639C9" w:rsidRPr="00EA0B02" w:rsidRDefault="001639C9" w:rsidP="001639C9">
      <w:r w:rsidRPr="00EA0B02">
        <w:t>Ingold (2011) describes how it is important to move beyond the range of language, beyond the noun. Aligning with Whitehead, he maintains that activity comes before distinction and that there are no things, only movement. He argues for a perspective that remains conscious of the process that brought a thing, once it has been individuated, to perception. A computer, for example, does not (should not) get distinguished from other things because it is an object, with a name and a characteristic shape, but because of what it does. Gill (2010) offers an example to support this perspective:</w:t>
      </w:r>
    </w:p>
    <w:p w:rsidR="001639C9" w:rsidRPr="00EA0B02" w:rsidRDefault="001639C9" w:rsidP="001639C9">
      <w:pPr>
        <w:tabs>
          <w:tab w:val="left" w:pos="8222"/>
        </w:tabs>
        <w:ind w:left="709" w:right="855"/>
      </w:pPr>
      <w:r w:rsidRPr="00EA0B02">
        <w:t>[…] if one reflects on the fact that any and all physical objects, such as this book, for instance, are a function or result of a myriad of previous relational activities. The tree out of which the paper was made grew from a seed in the soil, having received ample sunlight and rain from nature. Numerous people were involved in the process of making the paper, writing the manuscript, and making it into a book. The process did not start with the book as we know it, nor will it end there. (p. 32)</w:t>
      </w:r>
    </w:p>
    <w:p w:rsidR="001639C9" w:rsidRPr="00EA0B02" w:rsidRDefault="001639C9" w:rsidP="001639C9">
      <w:r w:rsidRPr="00EA0B02">
        <w:lastRenderedPageBreak/>
        <w:t xml:space="preserve">Whitehead insisted that it is processes that exist, not things. Gill summarizes Whitehead’s view: “What we call ‘objects’ are actually only the slowed-up inter-relational interactions of constantly evolving actual occasions and nexuses, or the intersections thereof” (p. 33). Whitehead’s language is challenging to understand because of the terms such as “occasions” and “nexuses”, but one can identify the gist that ‘things’ are not stable: that is, things are always the result of a process and even in the distinction of a thing, the process is always ongoing (Ingold). The processes never end. Our framing of language and identification can imply things exist, and have temporal and spatial boundaries) but, according to Whitehead, are only ‘slowed-up’ relations. </w:t>
      </w:r>
    </w:p>
    <w:p w:rsidR="001639C9" w:rsidRPr="00EA0B02" w:rsidRDefault="001639C9" w:rsidP="001639C9">
      <w:r w:rsidRPr="00EA0B02">
        <w:t>In mathematics education, tools, particularly those designed for a specific purpose, such as the compass or mathematics software, can be viewed as distinct because they offer a certain type of functionality. This functionality perspective aligns with Gibson’s (</w:t>
      </w:r>
      <w:r>
        <w:t>1977</w:t>
      </w:r>
      <w:r w:rsidRPr="00EA0B02">
        <w:t xml:space="preserve">) idea of affordances. </w:t>
      </w:r>
      <w:proofErr w:type="gramStart"/>
      <w:r w:rsidRPr="00EA0B02">
        <w:t xml:space="preserve">According to Gibson, “an affordance is the perceived functional significance of an object, event or place for an individual” (Heft, </w:t>
      </w:r>
      <w:r>
        <w:t>2001</w:t>
      </w:r>
      <w:r w:rsidRPr="00EA0B02">
        <w:t>, p. 123).</w:t>
      </w:r>
      <w:proofErr w:type="gramEnd"/>
      <w:r w:rsidRPr="00EA0B02">
        <w:t xml:space="preserve"> </w:t>
      </w:r>
    </w:p>
    <w:p w:rsidR="001639C9" w:rsidRPr="00EA0B02" w:rsidRDefault="001639C9" w:rsidP="001639C9">
      <w:pPr>
        <w:ind w:firstLine="0"/>
      </w:pPr>
      <w:r w:rsidRPr="00EA0B02">
        <w:t xml:space="preserve">Gibson elaborates affordances as follows: </w:t>
      </w:r>
    </w:p>
    <w:p w:rsidR="001639C9" w:rsidRPr="00EA0B02" w:rsidRDefault="001639C9" w:rsidP="001639C9">
      <w:pPr>
        <w:tabs>
          <w:tab w:val="left" w:pos="7797"/>
        </w:tabs>
        <w:ind w:left="567" w:right="843"/>
      </w:pPr>
      <w:r w:rsidRPr="00EA0B02">
        <w:t xml:space="preserve">An affordance cuts across the dichotomy of subjective–objective and helps us to understand its inadequacy. It is equally a fact of the environment and a fact of behavior. It is both physical and psychical, yet neither. An affordance points both ways, to the environment and to the </w:t>
      </w:r>
      <w:proofErr w:type="gramStart"/>
      <w:r w:rsidRPr="00EA0B02">
        <w:t>observer  (</w:t>
      </w:r>
      <w:proofErr w:type="gramEnd"/>
      <w:r w:rsidRPr="00EA0B02">
        <w:t>in Heft, p. 125)</w:t>
      </w:r>
    </w:p>
    <w:p w:rsidR="001639C9" w:rsidRPr="00EA0B02" w:rsidRDefault="001639C9" w:rsidP="001639C9">
      <w:r w:rsidRPr="00EA0B02">
        <w:t xml:space="preserve">Ingold identifies Gibson’s inability to commit to what an affordance is, being both “physical and psychical, yet neither” and also challenges the idea of physicality. Ingold argues that there are no objects in the world but only relations. To speak of affordances as being even slightly “within” an object is a misnomer to Ingold. He uses the example of sawing a piece of wood with a saw to make his point. </w:t>
      </w:r>
    </w:p>
    <w:p w:rsidR="001639C9" w:rsidRPr="00EA0B02" w:rsidRDefault="001639C9" w:rsidP="001639C9">
      <w:r w:rsidRPr="00EA0B02">
        <w:t xml:space="preserve">In Ingold’s description of cutting wood, he questions the attribution of properties to the saw. He draws on the idea that the saw alone is not a sawer of wood as a </w:t>
      </w:r>
      <w:proofErr w:type="gramStart"/>
      <w:r w:rsidRPr="00EA0B02">
        <w:t>function,</w:t>
      </w:r>
      <w:proofErr w:type="gramEnd"/>
      <w:r w:rsidRPr="00EA0B02">
        <w:t xml:space="preserve"> it is only a sawer of wood by way of narrative. His first point is that there is no </w:t>
      </w:r>
      <w:r w:rsidRPr="00EA0B02">
        <w:lastRenderedPageBreak/>
        <w:t>“saw” until the cut has been made. The subtle difference of different woods, different saws, techniques, positions, sizes of wood, lengths of cutting time, are all different considerations that affect the cut in different ways. This variation of cut suggests that the saw does not perform the same function each time it is used, but provides different narratives. There are oppor</w:t>
      </w:r>
      <w:r>
        <w:t xml:space="preserve">tunities of negotiation in the </w:t>
      </w:r>
      <w:r w:rsidRPr="00EA0B02">
        <w:t xml:space="preserve">relational engagement between sawer and saw and sawed. </w:t>
      </w:r>
    </w:p>
    <w:p w:rsidR="001639C9" w:rsidRPr="00EA0B02" w:rsidRDefault="001639C9" w:rsidP="001639C9">
      <w:r w:rsidRPr="00EA0B02">
        <w:t xml:space="preserve">If we were to describe a compass as a metallic or plastic mechanical tool, with a pointy tip, the description remains constant from context to context. In this accounting, it may seem a tool can perform the same function again and again in different contexts, but this misses the idea of the tool-in-use. In use, the pointy end of the compass becomes anchored to the page, the mechanical structure becomes fused with the hand, the sensation of touch is gone, sharp edges disappear, colour transforms, the noticing has shifted. The emergence of a rhythm, of a trace becoming, manifests itself. I suggest that the tool and the human become, in unity, a narrative of mathematical emergence. The compass loses its static properties; a role unrecognized in an a priori description. </w:t>
      </w:r>
    </w:p>
    <w:p w:rsidR="001639C9" w:rsidRPr="00EA0B02" w:rsidRDefault="001639C9" w:rsidP="001639C9">
      <w:r w:rsidRPr="00EA0B02">
        <w:t>Tools are identified by the names we give them. These nouns act like reality stamps, apparently granting the tool functionality within different contexts, but this perception of tools does not reflect what actually occurs in practice. The tool’s boundary is fuzzy because it is only a tool within a framing of other processes, one of which is the human.</w:t>
      </w:r>
    </w:p>
    <w:p w:rsidR="001639C9" w:rsidRDefault="001639C9" w:rsidP="001639C9">
      <w:pPr>
        <w:spacing w:before="480" w:line="240" w:lineRule="auto"/>
        <w:ind w:firstLine="0"/>
        <w:rPr>
          <w:b/>
          <w:sz w:val="26"/>
          <w:szCs w:val="26"/>
        </w:rPr>
      </w:pPr>
    </w:p>
    <w:p w:rsidR="001639C9" w:rsidRPr="000D0526" w:rsidRDefault="001639C9" w:rsidP="001639C9">
      <w:pPr>
        <w:spacing w:before="480" w:line="240" w:lineRule="auto"/>
        <w:ind w:firstLine="0"/>
        <w:rPr>
          <w:b/>
          <w:sz w:val="26"/>
          <w:szCs w:val="26"/>
        </w:rPr>
      </w:pPr>
      <w:r w:rsidRPr="000D0526">
        <w:rPr>
          <w:b/>
          <w:sz w:val="26"/>
          <w:szCs w:val="26"/>
        </w:rPr>
        <w:t>Humans as process</w:t>
      </w:r>
    </w:p>
    <w:p w:rsidR="001639C9" w:rsidRPr="007B4319" w:rsidRDefault="001639C9" w:rsidP="001639C9">
      <w:r w:rsidRPr="007B4319">
        <w:t xml:space="preserve">In this section, I challenge the common notion that humans are central to the activities in which they engage. Modern western philosophers have contemplated and formulated different conceptions of human capacity. The question of human capability and degree of power, the ability to choose, to exercise the will, were philosophical questions that were addressed by philosophers as early as Plato. It was commonly accepted that regardless of antecedent events the human had the capability of intending to act, to act, and to make a difference. This focus upon the rational thinker, an </w:t>
      </w:r>
      <w:r w:rsidRPr="007B4319">
        <w:lastRenderedPageBreak/>
        <w:t>autonomous being that has an ability to make a difference to initiate a cause has a strong tradition. Although there are varying degrees to which initiation of action is granted to the human, the human has traditionally been the centerpiece to which philosophers have granted capability.</w:t>
      </w:r>
    </w:p>
    <w:p w:rsidR="001639C9" w:rsidRPr="007B4319" w:rsidRDefault="001639C9" w:rsidP="001639C9">
      <w:r w:rsidRPr="007B4319">
        <w:t>Out of the various conceptions of Western thinking of the human being emerges some very distinct aspects of our humanity:</w:t>
      </w:r>
    </w:p>
    <w:p w:rsidR="001639C9" w:rsidRPr="007B4319" w:rsidRDefault="001639C9" w:rsidP="001639C9">
      <w:pPr>
        <w:pStyle w:val="ListParagraph"/>
        <w:numPr>
          <w:ilvl w:val="0"/>
          <w:numId w:val="3"/>
        </w:numPr>
        <w:spacing w:before="0" w:after="200" w:line="360" w:lineRule="auto"/>
        <w:contextualSpacing/>
        <w:jc w:val="left"/>
      </w:pPr>
      <w:r w:rsidRPr="007B4319">
        <w:t>humans are central to rational activity;</w:t>
      </w:r>
    </w:p>
    <w:p w:rsidR="001639C9" w:rsidRPr="007B4319" w:rsidRDefault="001639C9" w:rsidP="001639C9">
      <w:pPr>
        <w:pStyle w:val="ListParagraph"/>
        <w:numPr>
          <w:ilvl w:val="0"/>
          <w:numId w:val="3"/>
        </w:numPr>
        <w:spacing w:before="0" w:after="200" w:line="360" w:lineRule="auto"/>
        <w:contextualSpacing/>
        <w:jc w:val="left"/>
      </w:pPr>
      <w:r w:rsidRPr="007B4319">
        <w:t>they are r</w:t>
      </w:r>
      <w:r>
        <w:t>elatively stable in their being;</w:t>
      </w:r>
    </w:p>
    <w:p w:rsidR="001639C9" w:rsidRPr="007B4319" w:rsidRDefault="001639C9" w:rsidP="001639C9">
      <w:pPr>
        <w:pStyle w:val="ListParagraph"/>
        <w:numPr>
          <w:ilvl w:val="0"/>
          <w:numId w:val="3"/>
        </w:numPr>
        <w:spacing w:before="0" w:after="200" w:line="360" w:lineRule="auto"/>
        <w:contextualSpacing/>
        <w:jc w:val="left"/>
      </w:pPr>
      <w:proofErr w:type="gramStart"/>
      <w:r w:rsidRPr="007B4319">
        <w:t>they</w:t>
      </w:r>
      <w:proofErr w:type="gramEnd"/>
      <w:r w:rsidRPr="007B4319">
        <w:t xml:space="preserve"> are bound within their</w:t>
      </w:r>
      <w:r>
        <w:t xml:space="preserve"> skin.</w:t>
      </w:r>
    </w:p>
    <w:p w:rsidR="001639C9" w:rsidRPr="007B4319" w:rsidRDefault="001639C9" w:rsidP="001639C9">
      <w:r w:rsidRPr="007B4319">
        <w:t xml:space="preserve">I argue, however, that these ideas are based upon some grand philosophical assumptions, each of which can be challenged. A different conception of the human is offered towards the end of this section. </w:t>
      </w:r>
    </w:p>
    <w:p w:rsidR="001639C9" w:rsidRPr="007B4319" w:rsidRDefault="001639C9" w:rsidP="001639C9">
      <w:r w:rsidRPr="007B4319">
        <w:t xml:space="preserve">The idea of the human is a historically specific phenomenon. According to Foucault, “humanism is… its own dogma, replete with prejudices and assumptions” (in Wolfe, 2010, p. xiv). The important thing to discern is that humanism is an account of itself, so that it is necessarily self-referential in its claim. When we claim, for example, that we have mental capacity for understanding the world objectively, and when the only way to confirm such a claim is by the mental world we claim to have, </w:t>
      </w:r>
      <w:proofErr w:type="gramStart"/>
      <w:r w:rsidRPr="007B4319">
        <w:t>a circularity</w:t>
      </w:r>
      <w:proofErr w:type="gramEnd"/>
      <w:r w:rsidRPr="007B4319">
        <w:t xml:space="preserve"> ensues</w:t>
      </w:r>
      <w:r w:rsidRPr="00DB1EFA">
        <w:footnoteReference w:id="2"/>
      </w:r>
      <w:r w:rsidRPr="007B4319">
        <w:t xml:space="preserve">. Surprising as it may sound, our own construction of who we are as humans is tenuous. </w:t>
      </w:r>
    </w:p>
    <w:p w:rsidR="001639C9" w:rsidRPr="007B4319" w:rsidRDefault="001639C9" w:rsidP="001639C9">
      <w:r w:rsidRPr="007B4319">
        <w:t xml:space="preserve">Much of the philosophy centralizing and supporting the human as a distinct, stable entity stems from Descartes. His well-known phrase “I think therefore I am” brought attention to the basic assumption of all these philosophical perspectives that highlight the capability of the individual. Descartes is implicitly declaring that the fundamentals of thinking rely on and are based upon the human as an entity. In his quest for knowledge, one must begin somewhere, but one must also start with something real, something that one knows is true, according to Descartes, </w:t>
      </w:r>
      <w:proofErr w:type="gramStart"/>
      <w:r w:rsidRPr="007B4319">
        <w:t>he/himself</w:t>
      </w:r>
      <w:proofErr w:type="gramEnd"/>
      <w:r w:rsidRPr="007B4319">
        <w:t xml:space="preserve"> was that basis upon which further claims could be made. </w:t>
      </w:r>
    </w:p>
    <w:p w:rsidR="001639C9" w:rsidRPr="007B4319" w:rsidRDefault="001639C9" w:rsidP="001639C9">
      <w:r w:rsidRPr="007B4319">
        <w:lastRenderedPageBreak/>
        <w:t xml:space="preserve">As soon as humans act within their own self-referential construct, claiming consciousness, mental capacities and rational thought, the human implicates itself as being not only distinct but also separate from the animals, from nature, and from the world. Metaphysical constructs such as agency, soul and intentionality emerge from this starting point and often remain black-boxed phenomena. Although attempts are made to describe them, they typically remain highly subjective and context dependent to such a degree that there is no clear definition of any of these phenomena. </w:t>
      </w:r>
    </w:p>
    <w:p w:rsidR="001639C9" w:rsidRPr="007B4319" w:rsidRDefault="001639C9" w:rsidP="001639C9">
      <w:r w:rsidRPr="007B4319">
        <w:t xml:space="preserve">The perspective of the human as central to activity and as having a privileged position attributed a power to the human’s role. This perspective tends to lead to a non-symmetric approach in that the human is the one who initializes and constructs an activity, and carries it to completion. Lucy Suchman (2007), an anthropologist who studies situated action, challenges such an approach arguing that it rests upon the assumption that humans is distinct, implements an in-the-head model, and, consequently, acts upon things.  She argues that the research paradigm that adopts the human as the central actor is misleading because plans are contingent and highly dependent on resources. Ingold also draws on the idea that plans rely upon resources.  In addition, he challenges the perspective of the human as being a stable being.  He states that, “humans are often seen as creatures whose lives are expended in the fulfillment of capacities bestowed at the outset” (p. 3). To contrast, Ingold describes that a person is not an </w:t>
      </w:r>
      <w:proofErr w:type="gramStart"/>
      <w:r w:rsidRPr="007B4319">
        <w:t>agent,</w:t>
      </w:r>
      <w:proofErr w:type="gramEnd"/>
      <w:r w:rsidRPr="007B4319">
        <w:t xml:space="preserve"> a person is what they are doing. He writes, “I am what I am doing. </w:t>
      </w:r>
      <w:proofErr w:type="gramStart"/>
      <w:r w:rsidRPr="007B4319">
        <w:t>I am not an agent but a hive of activity” (p. 17).</w:t>
      </w:r>
      <w:proofErr w:type="gramEnd"/>
      <w:r w:rsidRPr="007B4319">
        <w:t xml:space="preserve"> Ingold readily challenges the assumption of the human as predefined to activity arguing that “…practical activity brings incorporeal minds into contact with a material world” (p. 21). </w:t>
      </w:r>
    </w:p>
    <w:p w:rsidR="001639C9" w:rsidRPr="007B4319" w:rsidRDefault="001639C9" w:rsidP="001639C9">
      <w:r w:rsidRPr="007B4319">
        <w:t>Barad (2007) also supports the human-as-process perspective in that she maintains that humans enter a practice not as “fully formed, pre-existing subjects but as subjects intra-actively co-constituted through the material discursive practices that they engage in” (p. 168). There is no meaning to things that are separate. According to Barad, separation is the foundation of representationalism. The attitude that a representation can give us a “snapshot or depiction of what awaits us” (p. 53) misleads us into thinking of humans as separate from that which we approach.</w:t>
      </w:r>
    </w:p>
    <w:p w:rsidR="001639C9" w:rsidRPr="007B4319" w:rsidRDefault="001639C9" w:rsidP="001639C9">
      <w:r w:rsidRPr="007B4319">
        <w:lastRenderedPageBreak/>
        <w:t xml:space="preserve">This paper has focused on three aspects of a simple mathematical activity: mathematics, tool and student or teacher (human).  I have argued that each “participant” be considered as processes.  While it may seem that process is just another ‘way of seeing the world’ I have tried to show the idea of process is quite a significant way of seeing that world that might have profound implications for the way we think and talk.  I believe that identifying processional aspects of mathematics, of tools and of humans is an important move in education as I will now show, with the help of some examples.  </w:t>
      </w:r>
    </w:p>
    <w:p w:rsidR="001639C9" w:rsidRPr="000D0526" w:rsidRDefault="001639C9" w:rsidP="001639C9">
      <w:pPr>
        <w:spacing w:before="480" w:line="240" w:lineRule="auto"/>
        <w:ind w:firstLine="0"/>
        <w:rPr>
          <w:b/>
          <w:sz w:val="26"/>
          <w:szCs w:val="26"/>
        </w:rPr>
      </w:pPr>
      <w:r w:rsidRPr="000D0526">
        <w:rPr>
          <w:b/>
          <w:sz w:val="26"/>
          <w:szCs w:val="26"/>
        </w:rPr>
        <w:t>The move to Process</w:t>
      </w:r>
    </w:p>
    <w:p w:rsidR="001639C9" w:rsidRPr="00DB1EFA" w:rsidRDefault="001639C9" w:rsidP="001639C9">
      <w:pPr>
        <w:spacing w:before="240" w:line="240" w:lineRule="auto"/>
        <w:ind w:firstLine="0"/>
        <w:rPr>
          <w:b/>
          <w:i/>
          <w:sz w:val="24"/>
          <w:szCs w:val="24"/>
        </w:rPr>
      </w:pPr>
      <w:r w:rsidRPr="00DB1EFA">
        <w:rPr>
          <w:b/>
          <w:i/>
          <w:sz w:val="24"/>
          <w:szCs w:val="24"/>
        </w:rPr>
        <w:t>Not within</w:t>
      </w:r>
    </w:p>
    <w:p w:rsidR="001639C9" w:rsidRPr="007B4319" w:rsidRDefault="001639C9" w:rsidP="001639C9">
      <w:r w:rsidRPr="007B4319">
        <w:t xml:space="preserve">One significant shift in the move to process in this paper is to contrast it with a product-oriented sensibility. I suggest the focus on things can be as misleading as a photograph might be of a busy event.  Ingold, citing Bergson (1911), writes how we can be “deceived into treating each [organism] as a thing … forgetting that the very permanence of its form is only the outline of a movement” (p. 13). The outline of a form suggests an interior; it divides the inside from the outside, dichotomizing distinct domains.  This interior (of the tool and/or the human) can be assigned traits if so desired (like affordance, or like ability and belief). But as I have argued, often these characteristics are black-boxed, unknowable or misleading.  There does not have to be an outline around the tool, the human, nor the mathematics.  As such, one of the moves to process is to avoid this appeal to interiorization.  </w:t>
      </w:r>
    </w:p>
    <w:p w:rsidR="001639C9" w:rsidRPr="007B4319" w:rsidRDefault="001639C9" w:rsidP="001639C9">
      <w:r w:rsidRPr="007B4319">
        <w:t xml:space="preserve">I provide an example from Sfard (2008) to highlight a potential problem when the focus is on interiorization. Sfard identifies a persistent problem of “disability” that exists in mathematics education. She comments that when students do not answer questions or perform tasks according to what might be expected in a mathematics classroom, they are often identified as not understanding and are labelled as challenged or disabled.  This attribution to the “interior” of the student can have very debilitating effects on the child; it is an objectification of the child. The focus on interiorization does not have to apply solely to humans. </w:t>
      </w:r>
    </w:p>
    <w:p w:rsidR="001639C9" w:rsidRPr="007B4319" w:rsidRDefault="001639C9" w:rsidP="001639C9">
      <w:r w:rsidRPr="007B4319">
        <w:t xml:space="preserve">The previous example was about humans, but the appeal to interiorization can also affect tools and even mathematics. With respect to the latter, I am reminded of the </w:t>
      </w:r>
      <w:r w:rsidRPr="007B4319">
        <w:lastRenderedPageBreak/>
        <w:t xml:space="preserve">long list of ways of thinking of the derivative that Thurston (1994) writes about, a list that ends in an ellipsis. While some might want to see the amalgamation of the list as what “the derivative” is, a move that invites the idea that (some) humans might be able to grasp it as an idea, it would seem to me more productive to think of the derivative as intra-acting with the various contexts in which these different ways of thinking have emerged.  This seems resonant with some of the ways that Davis (2008) has written about multiplication, for example, in his work with teachers.  de Freitas &amp; Sinclair (2014) write about concepts (like the derivative or multiplication) as being fundamentally mobile, and therefore functioning not only logically, but also as ontological devices that resist reification—and in this sense, perhaps the mathematical concept’s counterpart to Ingold’s narrative view of tools. This movement is where I see potential for mathematics as process, because it constantly resists being fully determined. </w:t>
      </w:r>
    </w:p>
    <w:p w:rsidR="001639C9" w:rsidRPr="00DB1EFA" w:rsidRDefault="001639C9" w:rsidP="001639C9">
      <w:pPr>
        <w:spacing w:before="240" w:line="240" w:lineRule="auto"/>
        <w:ind w:firstLine="0"/>
        <w:rPr>
          <w:b/>
          <w:i/>
          <w:sz w:val="24"/>
          <w:szCs w:val="24"/>
        </w:rPr>
      </w:pPr>
      <w:r w:rsidRPr="00DB1EFA">
        <w:rPr>
          <w:b/>
          <w:i/>
          <w:sz w:val="24"/>
          <w:szCs w:val="24"/>
        </w:rPr>
        <w:t>Not between</w:t>
      </w:r>
    </w:p>
    <w:p w:rsidR="001639C9" w:rsidRPr="007B4319" w:rsidRDefault="001639C9" w:rsidP="001639C9">
      <w:r w:rsidRPr="007B4319">
        <w:t>Another reason to argue for process is to shift the unit of analysis from interactions to one of emergence. In an approach that values process, there are no things to be between.  Consequently, the framing of “how” students interact with tools is challenged from the beginning; it is the question that is being asked that seems to propagate the problem.  When the focus is on the student and the tool interacting, a dualist approach has been adopted.  And there are significant studies supporting this perspective (Artigue, 2002; Bartolini Bus</w:t>
      </w:r>
      <w:r w:rsidR="005E0D59">
        <w:t>s</w:t>
      </w:r>
      <w:r w:rsidRPr="007B4319">
        <w:t xml:space="preserve">i &amp; Mariotti, 2008).  Barad reconfigures an approach arguing that the actual configurations of human and materials and their entanglement of activity is the ontological unit from which phenomena emerge. She uses the term ‘intra-action’ to stress that there are no things interacting but that things become within other things. In the example of the compass, her perspective is not that the subject used a compass, or even that the compass resisted or provided particular opportunities, but rather that the compass and subject combine in a new ontological unit and become together.  </w:t>
      </w:r>
      <w:proofErr w:type="gramStart"/>
      <w:r w:rsidRPr="007B4319">
        <w:t>de</w:t>
      </w:r>
      <w:proofErr w:type="gramEnd"/>
      <w:r w:rsidRPr="007B4319">
        <w:t xml:space="preserve"> Freitas and Sinclair (2014) draw on Barad to posit that the “mathematical and the physical need not be entirely distinct” (p. 88).  In their framing, the physical (student, tool) is in unity with the mathematics. </w:t>
      </w:r>
    </w:p>
    <w:p w:rsidR="001639C9" w:rsidRPr="007B4319" w:rsidRDefault="001639C9" w:rsidP="001639C9">
      <w:r w:rsidRPr="007B4319">
        <w:t xml:space="preserve">If the tool is not the thing in-between, the one that mediates mathematics for the learner, or that the teacher uses as a mediator of mathematical learning, then our way of </w:t>
      </w:r>
      <w:r w:rsidRPr="007B4319">
        <w:lastRenderedPageBreak/>
        <w:t>talking about the role of tools in mathematics education needs to change.  Tools are not simply integrated into mathematics learning, or useful in fostering mathematics, they determine the mathematical learning—much in the same way that radical theorists of embodied cognition claim that human bodies determine learning (Roth</w:t>
      </w:r>
      <w:r>
        <w:t xml:space="preserve"> &amp; Radford</w:t>
      </w:r>
      <w:r w:rsidRPr="007B4319">
        <w:t>, 20</w:t>
      </w:r>
      <w:r>
        <w:t>11</w:t>
      </w:r>
      <w:r w:rsidRPr="007B4319">
        <w:t>; Nemirovsky et al., 2013).  This would seem to have serious consequences both for research and curriculum development.  Artigue (2002) has already argued that the notion of comparative studies involving digital technologies is suspect, especially when both the experimental and control groups complete the same paper-and-pencil assessment.  But it becomes even more suspect if we assume that the student-computer becomes something quite different than the student-pencil.  What would be astonishing is when the two processes develop into similar narrative, and not whet</w:t>
      </w:r>
      <w:r>
        <w:t xml:space="preserve">her one narrative is </w:t>
      </w:r>
      <w:r w:rsidRPr="007B4319">
        <w:t xml:space="preserve">better than the other. </w:t>
      </w:r>
    </w:p>
    <w:p w:rsidR="001639C9" w:rsidRPr="00DB1EFA" w:rsidRDefault="001639C9" w:rsidP="001639C9">
      <w:pPr>
        <w:spacing w:before="240" w:line="240" w:lineRule="auto"/>
        <w:ind w:firstLine="0"/>
        <w:rPr>
          <w:b/>
          <w:i/>
          <w:sz w:val="24"/>
          <w:szCs w:val="24"/>
        </w:rPr>
      </w:pPr>
      <w:r w:rsidRPr="00DB1EFA">
        <w:rPr>
          <w:b/>
          <w:i/>
          <w:sz w:val="24"/>
          <w:szCs w:val="24"/>
        </w:rPr>
        <w:t>What is emergent?</w:t>
      </w:r>
    </w:p>
    <w:p w:rsidR="001639C9" w:rsidRPr="007B4319" w:rsidRDefault="001639C9" w:rsidP="001639C9">
      <w:r w:rsidRPr="007B4319">
        <w:t xml:space="preserve">The phenomenon of mathematical tool-human is not identified as being </w:t>
      </w:r>
      <w:proofErr w:type="gramStart"/>
      <w:r w:rsidRPr="007B4319">
        <w:t>inside nor</w:t>
      </w:r>
      <w:proofErr w:type="gramEnd"/>
      <w:r w:rsidRPr="007B4319">
        <w:t xml:space="preserve"> between. This draws attention to the “outside” of traditional form.  Humans are not bound by their skin for by Ingold’s account, we are what we do, and we do with things (but they are not really things, they are processes). The tool and student must be emergent within and from each other. We cannot disentangle the one process from the other. They are together a becoming; the processional of the tool, the mathematics and the human emerge within the phenomena of each other’s action (Barad, 2007). They do not develop separately but together. The metaphor of emergence is that something is being revealed, or that something is becoming—something hopefully new.  As Ingold writes, “Thus considered as tools, things have the same processional character as the activities that make them possible.” (p. 57).  This is what I have also been arguing for mathematical objects.</w:t>
      </w:r>
    </w:p>
    <w:p w:rsidR="001639C9" w:rsidRPr="007B4319" w:rsidRDefault="001639C9" w:rsidP="001639C9">
      <w:r w:rsidRPr="007B4319">
        <w:t xml:space="preserve">In </w:t>
      </w:r>
      <w:proofErr w:type="gramStart"/>
      <w:r w:rsidRPr="007B4319">
        <w:t>a process</w:t>
      </w:r>
      <w:proofErr w:type="gramEnd"/>
      <w:r w:rsidRPr="007B4319">
        <w:t xml:space="preserve"> ontology, reframing a perspective of learning is essential. The thinking no longer resides in the head of the human but in the process of the physical relational engagement of activity. Learning is not located in the student but in the physical practice of doing.  As researchers, we would need to attend more to what is done, and not just to what is said—and then resist the temptation of assuming that what is done somehow turns into some kind of knowledge schema.  If a mathematics </w:t>
      </w:r>
      <w:r w:rsidRPr="007B4319">
        <w:lastRenderedPageBreak/>
        <w:t xml:space="preserve">educational activity involves a student, and a tool, and each “component” is viewed as a process and not an entity, the analysis of activity takes a new approach.  This will require new methods for describing and interpreting learning situations.  It will probably also require a new conception of learning as some kind of evolution of process in which—perhaps—the new or unexpectedness directions in the process arise. </w:t>
      </w:r>
    </w:p>
    <w:p w:rsidR="001639C9" w:rsidRPr="000D0526" w:rsidRDefault="001639C9" w:rsidP="001639C9">
      <w:pPr>
        <w:spacing w:before="480" w:line="240" w:lineRule="auto"/>
        <w:ind w:firstLine="0"/>
        <w:rPr>
          <w:b/>
          <w:sz w:val="26"/>
          <w:szCs w:val="26"/>
        </w:rPr>
      </w:pPr>
      <w:r w:rsidRPr="000D0526">
        <w:rPr>
          <w:b/>
          <w:sz w:val="26"/>
          <w:szCs w:val="26"/>
        </w:rPr>
        <w:t>Conclusion</w:t>
      </w:r>
    </w:p>
    <w:p w:rsidR="001639C9" w:rsidRPr="007B4319" w:rsidRDefault="001639C9" w:rsidP="001639C9">
      <w:r w:rsidRPr="007B4319">
        <w:t xml:space="preserve">Mathematics as a discipline has the reputation of working with the intangible; this emerges from the reference to Plato’s Forms, as well as the reference to mathematical objects. These “objects” are discursive constructions, born from acts of nominalization, which can seem like things to acquire to a learner of mathematics. When mathematical objects, tools and the learner are considered as distinct entities, the articulation of how these entities come together is very challenging. To draw back to the mathematical practice before the nominalization and objectification, before the need for written communication, to the actual practice of mathematics in its physical manifestation, is an ontological reconsideration. Mathematics in practice is a relational process. It is an act of emergence in negotiation, altering, growing, becoming. The mathematics, the human, and the tool become together, in parallel, in process. </w:t>
      </w:r>
    </w:p>
    <w:p w:rsidR="001639C9" w:rsidRPr="005E0D59" w:rsidRDefault="001639C9" w:rsidP="005E0D59">
      <w:pPr>
        <w:spacing w:before="480" w:line="240" w:lineRule="auto"/>
        <w:ind w:firstLine="0"/>
        <w:rPr>
          <w:b/>
          <w:sz w:val="26"/>
          <w:szCs w:val="26"/>
        </w:rPr>
      </w:pPr>
      <w:r w:rsidRPr="005E0D59">
        <w:rPr>
          <w:b/>
          <w:sz w:val="26"/>
          <w:szCs w:val="26"/>
        </w:rPr>
        <w:t>References:</w:t>
      </w:r>
    </w:p>
    <w:p w:rsidR="005E0D59" w:rsidRDefault="005E0D59" w:rsidP="005E0D59">
      <w:pPr>
        <w:pStyle w:val="5ReferencesNormal"/>
        <w:spacing w:before="0" w:after="0"/>
      </w:pPr>
    </w:p>
    <w:p w:rsidR="001639C9" w:rsidRPr="001E7480" w:rsidRDefault="001639C9" w:rsidP="005E0D59">
      <w:pPr>
        <w:pStyle w:val="5ReferencesNormal"/>
        <w:spacing w:before="0" w:after="0"/>
      </w:pPr>
      <w:proofErr w:type="gramStart"/>
      <w:r w:rsidRPr="001E7480">
        <w:t>Artigue, M. (2002).</w:t>
      </w:r>
      <w:proofErr w:type="gramEnd"/>
      <w:r w:rsidRPr="001E7480">
        <w:t xml:space="preserve"> </w:t>
      </w:r>
      <w:proofErr w:type="gramStart"/>
      <w:r w:rsidRPr="001E7480">
        <w:t>Learning mathematics in CAS environment: the genesis of a reflection about instrumentation and the dialectics between technical and conceptual work.</w:t>
      </w:r>
      <w:proofErr w:type="gramEnd"/>
      <w:r w:rsidRPr="004377DD">
        <w:rPr>
          <w:i/>
        </w:rPr>
        <w:t xml:space="preserve"> International Journal of Computers </w:t>
      </w:r>
      <w:proofErr w:type="gramStart"/>
      <w:r w:rsidRPr="004377DD">
        <w:rPr>
          <w:i/>
        </w:rPr>
        <w:t>For</w:t>
      </w:r>
      <w:proofErr w:type="gramEnd"/>
      <w:r w:rsidRPr="004377DD">
        <w:rPr>
          <w:i/>
        </w:rPr>
        <w:t xml:space="preserve"> Mathematical Learning, 7</w:t>
      </w:r>
      <w:r w:rsidRPr="001E7480">
        <w:t>:245-274.</w:t>
      </w:r>
    </w:p>
    <w:p w:rsidR="001639C9" w:rsidRDefault="001639C9" w:rsidP="005E0D59">
      <w:pPr>
        <w:pStyle w:val="5ReferencesNormal"/>
        <w:spacing w:before="0" w:after="0"/>
      </w:pPr>
      <w:proofErr w:type="gramStart"/>
      <w:r>
        <w:t>Balacheff, N.</w:t>
      </w:r>
      <w:proofErr w:type="gramEnd"/>
      <w:r>
        <w:t xml:space="preserve">  (1988)</w:t>
      </w:r>
      <w:proofErr w:type="gramStart"/>
      <w:r>
        <w:t>.  Aspects</w:t>
      </w:r>
      <w:proofErr w:type="gramEnd"/>
      <w:r>
        <w:t xml:space="preserve"> of proof in pupils’ practice of school mathematics. In D. </w:t>
      </w:r>
      <w:proofErr w:type="gramStart"/>
      <w:r>
        <w:t>Pimm  (</w:t>
      </w:r>
      <w:proofErr w:type="gramEnd"/>
      <w:r>
        <w:t xml:space="preserve">Ed.), </w:t>
      </w:r>
      <w:r w:rsidRPr="00A34F20">
        <w:rPr>
          <w:i/>
        </w:rPr>
        <w:t>Mathematics, teachers and children</w:t>
      </w:r>
      <w:r>
        <w:t>. p. 216-235.  London:  Hodder &amp; St</w:t>
      </w:r>
      <w:r w:rsidR="005E0D59">
        <w:t>oughton</w:t>
      </w:r>
      <w:r>
        <w:t xml:space="preserve">. </w:t>
      </w:r>
    </w:p>
    <w:p w:rsidR="001639C9" w:rsidRDefault="001639C9" w:rsidP="005E0D59">
      <w:pPr>
        <w:pStyle w:val="5ReferencesNormal"/>
        <w:spacing w:before="0" w:after="0"/>
      </w:pPr>
      <w:r w:rsidRPr="003E0031">
        <w:t xml:space="preserve">Barad, Karen. </w:t>
      </w:r>
      <w:r>
        <w:t>(</w:t>
      </w:r>
      <w:r w:rsidRPr="003E0031">
        <w:t>2007</w:t>
      </w:r>
      <w:r>
        <w:t>)</w:t>
      </w:r>
      <w:r w:rsidRPr="003E0031">
        <w:t>. </w:t>
      </w:r>
      <w:r w:rsidRPr="00A34F20">
        <w:rPr>
          <w:i/>
        </w:rPr>
        <w:t>Meeting the universe halfway: Quantum physics and the entanglement of matter and meaning</w:t>
      </w:r>
      <w:r w:rsidRPr="003E0031">
        <w:t>. Durham, N.C.: Duke University Press.</w:t>
      </w:r>
    </w:p>
    <w:p w:rsidR="001639C9" w:rsidRDefault="001639C9" w:rsidP="005E0D59">
      <w:pPr>
        <w:pStyle w:val="5ReferencesNormal"/>
        <w:spacing w:before="0" w:after="0"/>
      </w:pPr>
      <w:r>
        <w:t xml:space="preserve">Barthes, R. (1980). </w:t>
      </w:r>
      <w:r w:rsidRPr="00A34F20">
        <w:rPr>
          <w:i/>
        </w:rPr>
        <w:t>Camera lucida: Reflections on photography</w:t>
      </w:r>
      <w:r>
        <w:t>.  New York: Hill and Wang.</w:t>
      </w:r>
    </w:p>
    <w:p w:rsidR="001639C9" w:rsidRPr="001E7480" w:rsidRDefault="001639C9" w:rsidP="005E0D59">
      <w:pPr>
        <w:pStyle w:val="5ReferencesNormal"/>
        <w:spacing w:before="0" w:after="0"/>
      </w:pPr>
      <w:proofErr w:type="gramStart"/>
      <w:r w:rsidRPr="001E7480">
        <w:t>Bartolini Bussi, M. G., &amp; Mariotti, M. A. (2008).</w:t>
      </w:r>
      <w:proofErr w:type="gramEnd"/>
      <w:r w:rsidRPr="001E7480">
        <w:t xml:space="preserve"> Semiotic mediation in the mathematics classroom: artifacts and signs after a Vygotskian perspective.  In L. D. English (Ed.), Bussi, M. B., Jones, G. A., Lesh, R. A., Sriraman, B. (Assoc. Eds.), </w:t>
      </w:r>
      <w:r w:rsidRPr="00A34F20">
        <w:rPr>
          <w:i/>
        </w:rPr>
        <w:t>Handbook of international research in mathematics education</w:t>
      </w:r>
      <w:r w:rsidRPr="001E7480">
        <w:t>. New York: Routledge.</w:t>
      </w:r>
    </w:p>
    <w:p w:rsidR="001639C9" w:rsidRPr="001E7480" w:rsidRDefault="001639C9" w:rsidP="005E0D59">
      <w:pPr>
        <w:pStyle w:val="5ReferencesNormal"/>
        <w:spacing w:before="0" w:after="0"/>
      </w:pPr>
      <w:r w:rsidRPr="001E7480">
        <w:lastRenderedPageBreak/>
        <w:t xml:space="preserve">Brousseau, G. (1997).  </w:t>
      </w:r>
      <w:proofErr w:type="gramStart"/>
      <w:r w:rsidRPr="001E7480">
        <w:t>Theory of didactical situations in mathematics.</w:t>
      </w:r>
      <w:proofErr w:type="gramEnd"/>
      <w:r w:rsidRPr="001E7480">
        <w:t xml:space="preserve">  </w:t>
      </w:r>
      <w:r w:rsidRPr="00A34F20">
        <w:rPr>
          <w:i/>
        </w:rPr>
        <w:t>Didactique des mathematiques</w:t>
      </w:r>
      <w:r w:rsidRPr="001E7480">
        <w:t>, 1970 – 1990, in N. Balacheff, M. Cooper, R. Sutherland, &amp; V. Warfield (Eds.), Kluwer A</w:t>
      </w:r>
      <w:r>
        <w:t xml:space="preserve">cademic Publishers, Dordrecht. </w:t>
      </w:r>
    </w:p>
    <w:p w:rsidR="001639C9" w:rsidRDefault="001639C9" w:rsidP="005E0D59">
      <w:pPr>
        <w:pStyle w:val="5ReferencesNormal"/>
        <w:spacing w:before="0" w:after="0"/>
      </w:pPr>
      <w:r>
        <w:t>Davis, B.  (2008)</w:t>
      </w:r>
      <w:proofErr w:type="gramStart"/>
      <w:r>
        <w:t>.  Is</w:t>
      </w:r>
      <w:proofErr w:type="gramEnd"/>
      <w:r>
        <w:t xml:space="preserve"> 1 a prime number? </w:t>
      </w:r>
      <w:proofErr w:type="gramStart"/>
      <w:r>
        <w:t>Developing teacher knowledge through concept study.</w:t>
      </w:r>
      <w:proofErr w:type="gramEnd"/>
      <w:r>
        <w:t xml:space="preserve">  </w:t>
      </w:r>
      <w:proofErr w:type="gramStart"/>
      <w:r w:rsidRPr="00B52F30">
        <w:rPr>
          <w:i/>
        </w:rPr>
        <w:t>Mathematics Teaching in the Middle School (NCTM), 14</w:t>
      </w:r>
      <w:r>
        <w:t>(2), 86-91.</w:t>
      </w:r>
      <w:proofErr w:type="gramEnd"/>
    </w:p>
    <w:p w:rsidR="001639C9" w:rsidRPr="001E7480" w:rsidRDefault="001639C9" w:rsidP="005E0D59">
      <w:pPr>
        <w:pStyle w:val="5ReferencesNormal"/>
        <w:spacing w:before="0" w:after="0"/>
      </w:pPr>
      <w:proofErr w:type="gramStart"/>
      <w:r>
        <w:t>Davis, B. &amp; Sumara, D. J. (1997).</w:t>
      </w:r>
      <w:proofErr w:type="gramEnd"/>
      <w:r>
        <w:t xml:space="preserve"> </w:t>
      </w:r>
      <w:proofErr w:type="gramStart"/>
      <w:r w:rsidRPr="009A7829">
        <w:t>Cognition, complexity, and teacher education.</w:t>
      </w:r>
      <w:proofErr w:type="gramEnd"/>
      <w:r>
        <w:t xml:space="preserve"> </w:t>
      </w:r>
      <w:r w:rsidRPr="009A7829">
        <w:rPr>
          <w:i/>
        </w:rPr>
        <w:t>Harvard Educational Review: 67</w:t>
      </w:r>
      <w:r>
        <w:t>(1).</w:t>
      </w:r>
    </w:p>
    <w:p w:rsidR="001639C9" w:rsidRDefault="001639C9" w:rsidP="005E0D59">
      <w:pPr>
        <w:pStyle w:val="5ReferencesNormal"/>
        <w:spacing w:before="0" w:after="0"/>
      </w:pPr>
      <w:proofErr w:type="gramStart"/>
      <w:r>
        <w:t>de</w:t>
      </w:r>
      <w:proofErr w:type="gramEnd"/>
      <w:r>
        <w:t xml:space="preserve"> Freitas, E. &amp; Sinclair, N. (2014). </w:t>
      </w:r>
      <w:r w:rsidRPr="00A34F20">
        <w:rPr>
          <w:i/>
        </w:rPr>
        <w:t>Mathematics and the body: Material entanglements in the classroom</w:t>
      </w:r>
      <w:r>
        <w:t xml:space="preserve">. </w:t>
      </w:r>
      <w:proofErr w:type="gramStart"/>
      <w:r>
        <w:t>Cambridge University Press.</w:t>
      </w:r>
      <w:proofErr w:type="gramEnd"/>
    </w:p>
    <w:p w:rsidR="001639C9" w:rsidRDefault="001639C9" w:rsidP="005E0D59">
      <w:pPr>
        <w:pStyle w:val="5ReferencesNormal"/>
        <w:spacing w:before="0" w:after="0"/>
      </w:pPr>
      <w:r w:rsidRPr="003E0031">
        <w:t xml:space="preserve">Gibson, J. J. (1977). </w:t>
      </w:r>
      <w:proofErr w:type="gramStart"/>
      <w:r w:rsidRPr="003E0031">
        <w:t>The theory of affordances.</w:t>
      </w:r>
      <w:proofErr w:type="gramEnd"/>
      <w:r w:rsidRPr="003E0031">
        <w:t xml:space="preserve"> </w:t>
      </w:r>
      <w:proofErr w:type="gramStart"/>
      <w:r w:rsidRPr="003E0031">
        <w:t xml:space="preserve">In R. Shaw &amp; J. Bransford (Eds.), </w:t>
      </w:r>
      <w:r w:rsidRPr="00A34F20">
        <w:rPr>
          <w:i/>
        </w:rPr>
        <w:t>Perceiving, acting and knowing: Toward an ecological psychology</w:t>
      </w:r>
      <w:r w:rsidRPr="003E0031">
        <w:t xml:space="preserve"> (pp.</w:t>
      </w:r>
      <w:r>
        <w:t xml:space="preserve"> 67-82).</w:t>
      </w:r>
      <w:proofErr w:type="gramEnd"/>
      <w:r>
        <w:t xml:space="preserve"> Hillsdale, NJ: Erlbaum.</w:t>
      </w:r>
    </w:p>
    <w:p w:rsidR="001639C9" w:rsidRDefault="001639C9" w:rsidP="005E0D59">
      <w:pPr>
        <w:pStyle w:val="5ReferencesNormal"/>
        <w:spacing w:before="0" w:after="0"/>
      </w:pPr>
      <w:proofErr w:type="gramStart"/>
      <w:r>
        <w:t>Gill, J. H. (2010).</w:t>
      </w:r>
      <w:proofErr w:type="gramEnd"/>
      <w:r>
        <w:t xml:space="preserve"> </w:t>
      </w:r>
      <w:proofErr w:type="gramStart"/>
      <w:r w:rsidRPr="00A34F20">
        <w:rPr>
          <w:i/>
        </w:rPr>
        <w:t>Deep postmodernism</w:t>
      </w:r>
      <w:r>
        <w:t>.</w:t>
      </w:r>
      <w:proofErr w:type="gramEnd"/>
      <w:r>
        <w:t xml:space="preserve"> </w:t>
      </w:r>
      <w:proofErr w:type="gramStart"/>
      <w:r>
        <w:t>Humanity Books.</w:t>
      </w:r>
      <w:proofErr w:type="gramEnd"/>
    </w:p>
    <w:p w:rsidR="001639C9" w:rsidRDefault="001639C9" w:rsidP="005E0D59">
      <w:pPr>
        <w:pStyle w:val="5ReferencesNormal"/>
        <w:spacing w:before="0" w:after="0"/>
      </w:pPr>
      <w:r w:rsidRPr="003E0031">
        <w:t xml:space="preserve">Halliday, M.A.K. (1978). </w:t>
      </w:r>
      <w:proofErr w:type="gramStart"/>
      <w:r w:rsidRPr="00A34F20">
        <w:rPr>
          <w:i/>
        </w:rPr>
        <w:t>Language as social semiotic.</w:t>
      </w:r>
      <w:proofErr w:type="gramEnd"/>
      <w:r w:rsidRPr="00A34F20">
        <w:rPr>
          <w:i/>
        </w:rPr>
        <w:t xml:space="preserve"> </w:t>
      </w:r>
      <w:proofErr w:type="gramStart"/>
      <w:r w:rsidRPr="00A34F20">
        <w:rPr>
          <w:i/>
        </w:rPr>
        <w:t>The social interpretation of language and meaning</w:t>
      </w:r>
      <w:r w:rsidRPr="003E0031">
        <w:t>.</w:t>
      </w:r>
      <w:proofErr w:type="gramEnd"/>
      <w:r w:rsidRPr="003E0031">
        <w:t xml:space="preserve"> London: Edward Arnold.</w:t>
      </w:r>
    </w:p>
    <w:p w:rsidR="001639C9" w:rsidRDefault="00997CB5" w:rsidP="005E0D59">
      <w:pPr>
        <w:pStyle w:val="5ReferencesNormal"/>
        <w:spacing w:before="0" w:after="0"/>
      </w:pPr>
      <w:hyperlink r:id="rId7" w:history="1">
        <w:r w:rsidR="001639C9" w:rsidRPr="003E0031">
          <w:t xml:space="preserve">Herbel-Eisenmann, B. (2007). </w:t>
        </w:r>
        <w:proofErr w:type="gramStart"/>
        <w:r w:rsidR="001639C9" w:rsidRPr="003E0031">
          <w:t>From intended curriculum to written curriculum: Examining the “voice” of a mathematics textbook.</w:t>
        </w:r>
        <w:proofErr w:type="gramEnd"/>
        <w:r w:rsidR="001639C9" w:rsidRPr="003E0031">
          <w:t xml:space="preserve"> </w:t>
        </w:r>
        <w:r w:rsidR="001639C9" w:rsidRPr="00A34F20">
          <w:rPr>
            <w:i/>
          </w:rPr>
          <w:t>Journal for Research in Mathematics Education, 38</w:t>
        </w:r>
        <w:r w:rsidR="001639C9" w:rsidRPr="00A34F20">
          <w:t>(4), 344-369.</w:t>
        </w:r>
      </w:hyperlink>
    </w:p>
    <w:p w:rsidR="001639C9" w:rsidRPr="001E7480" w:rsidRDefault="001639C9" w:rsidP="005E0D59">
      <w:pPr>
        <w:pStyle w:val="5ReferencesNormal"/>
        <w:spacing w:before="0" w:after="0"/>
      </w:pPr>
      <w:r w:rsidRPr="001E7480">
        <w:t xml:space="preserve">Heft, H. (2001). </w:t>
      </w:r>
      <w:r w:rsidRPr="00A34F20">
        <w:rPr>
          <w:i/>
        </w:rPr>
        <w:t xml:space="preserve">Ecological psychology in context: James Gibson, Roger Barker, and the legacy of William </w:t>
      </w:r>
      <w:proofErr w:type="gramStart"/>
      <w:r w:rsidRPr="00A34F20">
        <w:rPr>
          <w:i/>
        </w:rPr>
        <w:t>James’ s</w:t>
      </w:r>
      <w:proofErr w:type="gramEnd"/>
      <w:r w:rsidRPr="00A34F20">
        <w:rPr>
          <w:i/>
        </w:rPr>
        <w:t xml:space="preserve"> radical empiricism</w:t>
      </w:r>
      <w:r w:rsidRPr="001E7480">
        <w:t xml:space="preserve">. Mahwah, N.J.: L. </w:t>
      </w:r>
      <w:r w:rsidR="005E0D59" w:rsidRPr="001E7480">
        <w:t>Erlbaum</w:t>
      </w:r>
      <w:r w:rsidRPr="001E7480">
        <w:t>.</w:t>
      </w:r>
    </w:p>
    <w:p w:rsidR="001639C9" w:rsidRPr="001E7480" w:rsidRDefault="001639C9" w:rsidP="005E0D59">
      <w:pPr>
        <w:pStyle w:val="5ReferencesNormal"/>
        <w:spacing w:before="0" w:after="0"/>
      </w:pPr>
      <w:proofErr w:type="gramStart"/>
      <w:r>
        <w:t>Ingold, T. (2011).</w:t>
      </w:r>
      <w:proofErr w:type="gramEnd"/>
      <w:r>
        <w:t xml:space="preserve"> </w:t>
      </w:r>
      <w:proofErr w:type="gramStart"/>
      <w:r w:rsidRPr="00A34F20">
        <w:rPr>
          <w:i/>
        </w:rPr>
        <w:t>Being alive: Essays on movement, knowledge and description</w:t>
      </w:r>
      <w:r>
        <w:t>.</w:t>
      </w:r>
      <w:proofErr w:type="gramEnd"/>
      <w:r>
        <w:t xml:space="preserve">  London: Routledge.</w:t>
      </w:r>
    </w:p>
    <w:p w:rsidR="001639C9" w:rsidRDefault="001639C9" w:rsidP="005E0D59">
      <w:pPr>
        <w:pStyle w:val="5ReferencesNormal"/>
        <w:spacing w:before="0" w:after="0"/>
      </w:pPr>
      <w:r w:rsidRPr="00EA0B02">
        <w:t xml:space="preserve">Lunney Borden, L. (2011) </w:t>
      </w:r>
      <w:proofErr w:type="gramStart"/>
      <w:r w:rsidRPr="00EA0B02">
        <w:t>The</w:t>
      </w:r>
      <w:proofErr w:type="gramEnd"/>
      <w:r w:rsidRPr="00EA0B02">
        <w:t xml:space="preserve"> ‘verbification’ of mathematics: using the grammatical structures of Mi'kmaq to support student learning. </w:t>
      </w:r>
      <w:proofErr w:type="gramStart"/>
      <w:r w:rsidRPr="008D0B4B">
        <w:rPr>
          <w:i/>
        </w:rPr>
        <w:t>For the Learning of Mathematics 31</w:t>
      </w:r>
      <w:r w:rsidRPr="00EA0B02">
        <w:t>(3), 8-13.</w:t>
      </w:r>
      <w:proofErr w:type="gramEnd"/>
    </w:p>
    <w:p w:rsidR="001639C9" w:rsidRPr="00EA0B02" w:rsidRDefault="001639C9" w:rsidP="005E0D59">
      <w:pPr>
        <w:pStyle w:val="5ReferencesNormal"/>
        <w:spacing w:before="0" w:after="0"/>
      </w:pPr>
      <w:proofErr w:type="gramStart"/>
      <w:r w:rsidRPr="00EA0B02">
        <w:t>McCullough, W. (1965)</w:t>
      </w:r>
      <w:r>
        <w:t>.</w:t>
      </w:r>
      <w:proofErr w:type="gramEnd"/>
      <w:r w:rsidRPr="00EA0B02">
        <w:t xml:space="preserve"> </w:t>
      </w:r>
      <w:proofErr w:type="gramStart"/>
      <w:r w:rsidRPr="005F7475">
        <w:rPr>
          <w:i/>
        </w:rPr>
        <w:t>Embodiment of Mind</w:t>
      </w:r>
      <w:r>
        <w:t>.</w:t>
      </w:r>
      <w:proofErr w:type="gramEnd"/>
      <w:r w:rsidRPr="00EA0B02">
        <w:t xml:space="preserve"> Cambridge</w:t>
      </w:r>
      <w:r w:rsidR="005E0D59">
        <w:t xml:space="preserve">, </w:t>
      </w:r>
      <w:r w:rsidR="005E0D59">
        <w:rPr>
          <w:lang w:val="en-US"/>
        </w:rPr>
        <w:t>Massachusetts</w:t>
      </w:r>
      <w:r w:rsidRPr="00EA0B02">
        <w:t>: MIT Press.</w:t>
      </w:r>
    </w:p>
    <w:p w:rsidR="001639C9" w:rsidRPr="001E7480" w:rsidRDefault="001639C9" w:rsidP="005E0D59">
      <w:pPr>
        <w:pStyle w:val="5ReferencesNormal"/>
        <w:spacing w:before="0" w:after="0"/>
      </w:pPr>
      <w:r w:rsidRPr="001E7480">
        <w:t xml:space="preserve">Morgan, C.  (1998). </w:t>
      </w:r>
      <w:r w:rsidRPr="005F7475">
        <w:rPr>
          <w:i/>
        </w:rPr>
        <w:t xml:space="preserve">Writing </w:t>
      </w:r>
      <w:r w:rsidR="005E0D59" w:rsidRPr="005F7475">
        <w:rPr>
          <w:i/>
        </w:rPr>
        <w:t>Mathematically</w:t>
      </w:r>
      <w:r w:rsidRPr="005F7475">
        <w:rPr>
          <w:i/>
        </w:rPr>
        <w:t>: The Discourse of Investigation</w:t>
      </w:r>
      <w:r w:rsidRPr="001E7480">
        <w:t xml:space="preserve">.  </w:t>
      </w:r>
      <w:proofErr w:type="gramStart"/>
      <w:r w:rsidRPr="001E7480">
        <w:t>Falmer Press, Taylor &amp; Francis Inc., London.</w:t>
      </w:r>
      <w:proofErr w:type="gramEnd"/>
    </w:p>
    <w:p w:rsidR="001639C9" w:rsidRDefault="001639C9" w:rsidP="005E0D59">
      <w:pPr>
        <w:pStyle w:val="5ReferencesNormal"/>
        <w:spacing w:before="0" w:after="0"/>
      </w:pPr>
      <w:proofErr w:type="gramStart"/>
      <w:r>
        <w:t>Nemirovsky, R., Kelton, M. L. &amp; Rhodehamel, B. (2013).</w:t>
      </w:r>
      <w:proofErr w:type="gramEnd"/>
      <w:r>
        <w:t xml:space="preserve">  </w:t>
      </w:r>
      <w:proofErr w:type="gramStart"/>
      <w:r w:rsidRPr="007B2714">
        <w:t>Pl</w:t>
      </w:r>
      <w:r>
        <w:t xml:space="preserve">aying mathematical instruments: </w:t>
      </w:r>
      <w:r w:rsidRPr="007B2714">
        <w:t xml:space="preserve">Emerging </w:t>
      </w:r>
      <w:r>
        <w:t>p</w:t>
      </w:r>
      <w:r w:rsidRPr="007B2714">
        <w:t xml:space="preserve">erceptuomotor </w:t>
      </w:r>
      <w:r>
        <w:t>integration w</w:t>
      </w:r>
      <w:r w:rsidRPr="007B2714">
        <w:t xml:space="preserve">ith an </w:t>
      </w:r>
      <w:r>
        <w:t>i</w:t>
      </w:r>
      <w:r w:rsidRPr="007B2714">
        <w:t xml:space="preserve">nteractive </w:t>
      </w:r>
      <w:r>
        <w:t>m</w:t>
      </w:r>
      <w:r w:rsidRPr="007B2714">
        <w:t xml:space="preserve">athematics </w:t>
      </w:r>
      <w:r>
        <w:t>e</w:t>
      </w:r>
      <w:r w:rsidRPr="007B2714">
        <w:t>xhibit</w:t>
      </w:r>
      <w:r>
        <w:t>.</w:t>
      </w:r>
      <w:proofErr w:type="gramEnd"/>
      <w:r>
        <w:t xml:space="preserve">  </w:t>
      </w:r>
      <w:r w:rsidRPr="005F7475">
        <w:rPr>
          <w:i/>
        </w:rPr>
        <w:t>Journal for Researc</w:t>
      </w:r>
      <w:r>
        <w:rPr>
          <w:i/>
        </w:rPr>
        <w:t>h in Mathematics Education,</w:t>
      </w:r>
      <w:r w:rsidRPr="005F7475">
        <w:rPr>
          <w:i/>
        </w:rPr>
        <w:t xml:space="preserve"> 4</w:t>
      </w:r>
      <w:r>
        <w:rPr>
          <w:i/>
        </w:rPr>
        <w:t>4</w:t>
      </w:r>
      <w:r w:rsidRPr="005F7475">
        <w:t>(2),</w:t>
      </w:r>
      <w:r w:rsidRPr="007B2714">
        <w:t xml:space="preserve"> 372–415</w:t>
      </w:r>
      <w:r>
        <w:t>.</w:t>
      </w:r>
    </w:p>
    <w:p w:rsidR="001639C9" w:rsidRDefault="001639C9" w:rsidP="005E0D59">
      <w:pPr>
        <w:pStyle w:val="5ReferencesNormal"/>
        <w:spacing w:before="0" w:after="0"/>
      </w:pPr>
      <w:proofErr w:type="gramStart"/>
      <w:r w:rsidRPr="003E0031">
        <w:t>Newman, F. &amp; Holzman, L. (1997).</w:t>
      </w:r>
      <w:proofErr w:type="gramEnd"/>
      <w:r w:rsidRPr="003E0031">
        <w:t xml:space="preserve"> </w:t>
      </w:r>
      <w:r w:rsidRPr="005F7475">
        <w:rPr>
          <w:i/>
        </w:rPr>
        <w:t>The end of knowing: A new developmental way of learning</w:t>
      </w:r>
      <w:r w:rsidRPr="003E0031">
        <w:t>.  London: Routledge.</w:t>
      </w:r>
    </w:p>
    <w:p w:rsidR="001639C9" w:rsidRPr="001E7480" w:rsidRDefault="001639C9" w:rsidP="005E0D59">
      <w:pPr>
        <w:pStyle w:val="5ReferencesNormal"/>
        <w:spacing w:before="0" w:after="0"/>
      </w:pPr>
      <w:r w:rsidRPr="001E7480">
        <w:t xml:space="preserve">Pimm, D. (1987). </w:t>
      </w:r>
      <w:proofErr w:type="gramStart"/>
      <w:r w:rsidRPr="005F7475">
        <w:rPr>
          <w:i/>
        </w:rPr>
        <w:t>Speaking mathematically: communication in mathematics classrooms</w:t>
      </w:r>
      <w:r w:rsidRPr="001E7480">
        <w:t>.</w:t>
      </w:r>
      <w:proofErr w:type="gramEnd"/>
      <w:r w:rsidRPr="001E7480">
        <w:t xml:space="preserve">  London; New York: Routledge &amp; K. Paul.  </w:t>
      </w:r>
    </w:p>
    <w:p w:rsidR="001639C9" w:rsidRDefault="001639C9" w:rsidP="005E0D59">
      <w:pPr>
        <w:pStyle w:val="5ReferencesNormal"/>
        <w:spacing w:before="0" w:after="0"/>
      </w:pPr>
      <w:r>
        <w:t xml:space="preserve">Roth. </w:t>
      </w:r>
      <w:proofErr w:type="gramStart"/>
      <w:r>
        <w:t>W-M., &amp; Radford, L. (2011).</w:t>
      </w:r>
      <w:proofErr w:type="gramEnd"/>
      <w:r>
        <w:t xml:space="preserve"> </w:t>
      </w:r>
      <w:proofErr w:type="gramStart"/>
      <w:r w:rsidRPr="005F7475">
        <w:rPr>
          <w:i/>
        </w:rPr>
        <w:t>A cultural historical perspective on mathematics teaching and learning</w:t>
      </w:r>
      <w:r>
        <w:t>.</w:t>
      </w:r>
      <w:proofErr w:type="gramEnd"/>
      <w:r>
        <w:t xml:space="preserve">  </w:t>
      </w:r>
      <w:proofErr w:type="gramStart"/>
      <w:r>
        <w:t>Sense publishers.</w:t>
      </w:r>
      <w:proofErr w:type="gramEnd"/>
    </w:p>
    <w:p w:rsidR="001639C9" w:rsidRDefault="001639C9" w:rsidP="005E0D59">
      <w:pPr>
        <w:pStyle w:val="5ReferencesNormal"/>
        <w:spacing w:before="0" w:after="0"/>
      </w:pPr>
      <w:r w:rsidRPr="001E7480">
        <w:t xml:space="preserve">Rotman, B. (2008). </w:t>
      </w:r>
      <w:r w:rsidRPr="005F7475">
        <w:rPr>
          <w:i/>
        </w:rPr>
        <w:t>Becoming beside ourselves: the alphabet, ghosts, and distributed human being</w:t>
      </w:r>
      <w:r w:rsidRPr="001E7480">
        <w:t>. Duke University Press, London.</w:t>
      </w:r>
    </w:p>
    <w:p w:rsidR="001639C9" w:rsidRPr="001E7480" w:rsidRDefault="001639C9" w:rsidP="005E0D59">
      <w:pPr>
        <w:pStyle w:val="5ReferencesNormal"/>
        <w:spacing w:before="0" w:after="0"/>
      </w:pPr>
      <w:r w:rsidRPr="001E7480">
        <w:t xml:space="preserve">Sfard, A. (2008).  </w:t>
      </w:r>
      <w:r w:rsidRPr="005F7475">
        <w:rPr>
          <w:i/>
        </w:rPr>
        <w:t>Thinking as communicating: Human development, the growth of discourses, and mathematizing</w:t>
      </w:r>
      <w:r w:rsidRPr="001E7480">
        <w:t>.  Cambridge, England: Cambridge University Press.</w:t>
      </w:r>
    </w:p>
    <w:p w:rsidR="001639C9" w:rsidRDefault="001639C9" w:rsidP="005E0D59">
      <w:pPr>
        <w:pStyle w:val="5ReferencesNormal"/>
        <w:spacing w:before="0" w:after="0"/>
      </w:pPr>
      <w:r>
        <w:t xml:space="preserve">Sfard, A. (1991). On the dual nature of mathematical conceptions: Reflections on processes and objects as different sides of the same coin. </w:t>
      </w:r>
      <w:r w:rsidRPr="005F7475">
        <w:rPr>
          <w:i/>
        </w:rPr>
        <w:t>Educational Studies in Mathematics, 22</w:t>
      </w:r>
      <w:r>
        <w:t xml:space="preserve">, 1-36. </w:t>
      </w:r>
    </w:p>
    <w:p w:rsidR="001639C9" w:rsidRDefault="001639C9" w:rsidP="005E0D59">
      <w:pPr>
        <w:pStyle w:val="5ReferencesNormal"/>
        <w:spacing w:before="0" w:after="0"/>
      </w:pPr>
      <w:r>
        <w:t xml:space="preserve">Suchman, L. (2007). </w:t>
      </w:r>
      <w:r w:rsidRPr="005F7475">
        <w:rPr>
          <w:i/>
        </w:rPr>
        <w:t>Human-machine reconfigurations: Plans and situated actions</w:t>
      </w:r>
      <w:r>
        <w:t xml:space="preserve">. </w:t>
      </w:r>
      <w:proofErr w:type="gramStart"/>
      <w:r>
        <w:t>2</w:t>
      </w:r>
      <w:r w:rsidRPr="003E0031">
        <w:t>nd</w:t>
      </w:r>
      <w:r>
        <w:t xml:space="preserve"> edition.</w:t>
      </w:r>
      <w:proofErr w:type="gramEnd"/>
      <w:r>
        <w:t xml:space="preserve"> </w:t>
      </w:r>
      <w:proofErr w:type="gramStart"/>
      <w:r>
        <w:t>Cambridge University Press.</w:t>
      </w:r>
      <w:proofErr w:type="gramEnd"/>
    </w:p>
    <w:p w:rsidR="001639C9" w:rsidRDefault="001639C9" w:rsidP="005E0D59">
      <w:pPr>
        <w:pStyle w:val="5ReferencesNormal"/>
        <w:spacing w:before="0" w:after="0"/>
      </w:pPr>
      <w:r>
        <w:t xml:space="preserve">Thurston, W. P. (1994). </w:t>
      </w:r>
      <w:proofErr w:type="gramStart"/>
      <w:r>
        <w:t>On proof and progress in mathematics.</w:t>
      </w:r>
      <w:proofErr w:type="gramEnd"/>
      <w:r>
        <w:t xml:space="preserve"> </w:t>
      </w:r>
      <w:proofErr w:type="gramStart"/>
      <w:r w:rsidRPr="005F7475">
        <w:rPr>
          <w:i/>
        </w:rPr>
        <w:t>Bulletin of the American mathematical socie</w:t>
      </w:r>
      <w:r>
        <w:rPr>
          <w:i/>
        </w:rPr>
        <w:t>ty,</w:t>
      </w:r>
      <w:r w:rsidRPr="005F7475">
        <w:rPr>
          <w:i/>
        </w:rPr>
        <w:t xml:space="preserve"> 30</w:t>
      </w:r>
      <w:r>
        <w:t>(2), pp. 161-177.</w:t>
      </w:r>
      <w:proofErr w:type="gramEnd"/>
    </w:p>
    <w:p w:rsidR="001639C9" w:rsidRDefault="001639C9" w:rsidP="005E0D59">
      <w:pPr>
        <w:pStyle w:val="5ReferencesNormal"/>
        <w:spacing w:before="0" w:after="0"/>
      </w:pPr>
      <w:proofErr w:type="gramStart"/>
      <w:r w:rsidRPr="001E7480">
        <w:lastRenderedPageBreak/>
        <w:t>Wagner, D.</w:t>
      </w:r>
      <w:proofErr w:type="gramEnd"/>
      <w:r w:rsidRPr="001E7480">
        <w:t xml:space="preserve">  (2007)</w:t>
      </w:r>
      <w:proofErr w:type="gramStart"/>
      <w:r w:rsidRPr="001E7480">
        <w:t>.  Students’</w:t>
      </w:r>
      <w:proofErr w:type="gramEnd"/>
      <w:r w:rsidRPr="001E7480">
        <w:t xml:space="preserve"> critical awareness of voice and agency in mathematics classroom discourse.  </w:t>
      </w:r>
      <w:r w:rsidRPr="005F7475">
        <w:rPr>
          <w:i/>
        </w:rPr>
        <w:t>Mathematical Thinking and Learning, 9</w:t>
      </w:r>
      <w:r>
        <w:t>(1), 31-50.</w:t>
      </w:r>
    </w:p>
    <w:p w:rsidR="001639C9" w:rsidRDefault="001639C9" w:rsidP="005E0D59">
      <w:pPr>
        <w:pStyle w:val="5ReferencesNormal"/>
        <w:spacing w:before="0" w:after="0"/>
      </w:pPr>
      <w:r w:rsidRPr="003E0031">
        <w:t xml:space="preserve">Whorf, B. (1956). </w:t>
      </w:r>
      <w:proofErr w:type="gramStart"/>
      <w:r w:rsidRPr="005F7475">
        <w:rPr>
          <w:i/>
        </w:rPr>
        <w:t>Language, thought, and reality</w:t>
      </w:r>
      <w:r w:rsidRPr="003E0031">
        <w:t>.</w:t>
      </w:r>
      <w:proofErr w:type="gramEnd"/>
      <w:r w:rsidRPr="003E0031">
        <w:t xml:space="preserve">  Cambridge, Massachusetts, MIT press.</w:t>
      </w:r>
    </w:p>
    <w:p w:rsidR="001639C9" w:rsidRDefault="001639C9" w:rsidP="005E0D59">
      <w:pPr>
        <w:pStyle w:val="5ReferencesNormal"/>
        <w:spacing w:before="0" w:after="0"/>
      </w:pPr>
      <w:r w:rsidRPr="00EA0B02">
        <w:t>Wilson, R. (2013)</w:t>
      </w:r>
      <w:r>
        <w:t>.</w:t>
      </w:r>
      <w:r w:rsidRPr="00EA0B02">
        <w:t xml:space="preserve"> </w:t>
      </w:r>
      <w:r w:rsidRPr="005F7475">
        <w:rPr>
          <w:i/>
        </w:rPr>
        <w:t>Four Colors Suffice: How the Map Problem Was Solved</w:t>
      </w:r>
      <w:r w:rsidRPr="00EA0B02">
        <w:t xml:space="preserve">. </w:t>
      </w:r>
      <w:proofErr w:type="gramStart"/>
      <w:r w:rsidRPr="00EA0B02">
        <w:t>Princeton, NJ; Princeton University Press.</w:t>
      </w:r>
      <w:proofErr w:type="gramEnd"/>
    </w:p>
    <w:p w:rsidR="001639C9" w:rsidRDefault="001639C9" w:rsidP="005E0D59">
      <w:pPr>
        <w:pStyle w:val="5ReferencesNormal"/>
        <w:spacing w:before="0" w:after="0"/>
      </w:pPr>
      <w:r>
        <w:t xml:space="preserve">Wolfe, C. (2010). </w:t>
      </w:r>
      <w:r w:rsidRPr="005F7475">
        <w:rPr>
          <w:i/>
        </w:rPr>
        <w:t>What is posthumanism</w:t>
      </w:r>
      <w:r>
        <w:t>? Minneapolis: University of Minnesota Press.</w:t>
      </w:r>
    </w:p>
    <w:p w:rsidR="001639C9" w:rsidRPr="00EA0B02" w:rsidRDefault="001639C9" w:rsidP="005E0D59">
      <w:pPr>
        <w:pStyle w:val="5ReferencesNormal"/>
        <w:spacing w:before="0" w:after="0"/>
      </w:pPr>
    </w:p>
    <w:p w:rsidR="001639C9" w:rsidRDefault="001639C9" w:rsidP="005E0D59">
      <w:pPr>
        <w:pStyle w:val="5ReferencesNormal"/>
        <w:spacing w:before="0" w:after="0"/>
      </w:pPr>
    </w:p>
    <w:p w:rsidR="005B6EC9" w:rsidRDefault="005B6EC9">
      <w:bookmarkStart w:id="1" w:name="_GoBack"/>
      <w:bookmarkEnd w:id="1"/>
    </w:p>
    <w:sectPr w:rsidR="005B6EC9" w:rsidSect="00A34F20">
      <w:headerReference w:type="default" r:id="rId8"/>
      <w:footnotePr>
        <w:numRestart w:val="eachSect"/>
      </w:footnotePr>
      <w:endnotePr>
        <w:numFmt w:val="decimal"/>
        <w:numRestart w:val="eachSect"/>
      </w:endnotePr>
      <w:pgSz w:w="12240" w:h="15840" w:code="1"/>
      <w:pgMar w:top="1440" w:right="1800" w:bottom="1440" w:left="1800" w:header="1080" w:footer="108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13" w:rsidRDefault="00841913" w:rsidP="001639C9">
      <w:pPr>
        <w:spacing w:before="0" w:after="0" w:line="240" w:lineRule="auto"/>
      </w:pPr>
      <w:r>
        <w:separator/>
      </w:r>
    </w:p>
  </w:endnote>
  <w:endnote w:type="continuationSeparator" w:id="0">
    <w:p w:rsidR="00841913" w:rsidRDefault="00841913" w:rsidP="001639C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13" w:rsidRDefault="00841913" w:rsidP="001639C9">
      <w:pPr>
        <w:spacing w:before="0" w:after="0" w:line="240" w:lineRule="auto"/>
      </w:pPr>
      <w:r>
        <w:separator/>
      </w:r>
    </w:p>
  </w:footnote>
  <w:footnote w:type="continuationSeparator" w:id="0">
    <w:p w:rsidR="00841913" w:rsidRDefault="00841913" w:rsidP="001639C9">
      <w:pPr>
        <w:spacing w:before="0" w:after="0" w:line="240" w:lineRule="auto"/>
      </w:pPr>
      <w:r>
        <w:continuationSeparator/>
      </w:r>
    </w:p>
  </w:footnote>
  <w:footnote w:id="1">
    <w:p w:rsidR="001639C9" w:rsidRPr="00C371D0" w:rsidRDefault="001639C9" w:rsidP="001639C9">
      <w:pPr>
        <w:pStyle w:val="FootnoteText"/>
        <w:rPr>
          <w:lang w:val="en-US"/>
        </w:rPr>
      </w:pPr>
      <w:r>
        <w:rPr>
          <w:rStyle w:val="FootnoteReference"/>
        </w:rPr>
        <w:footnoteRef/>
      </w:r>
      <w:r>
        <w:t xml:space="preserve"> </w:t>
      </w:r>
      <w:proofErr w:type="gramStart"/>
      <w:r w:rsidRPr="00EA0B02">
        <w:t>In English, at least.</w:t>
      </w:r>
      <w:proofErr w:type="gramEnd"/>
      <w:r w:rsidRPr="00EA0B02">
        <w:t xml:space="preserve"> See Lunney Borden (2011) and Roberts (1998) on aspects of nominalization in relation to mathematics in aboriginal languages.</w:t>
      </w:r>
    </w:p>
  </w:footnote>
  <w:footnote w:id="2">
    <w:p w:rsidR="001639C9" w:rsidRPr="000D0526" w:rsidRDefault="001639C9" w:rsidP="001639C9">
      <w:pPr>
        <w:pStyle w:val="FootnoteText"/>
        <w:rPr>
          <w:lang w:val="en-US"/>
        </w:rPr>
      </w:pPr>
      <w:r>
        <w:rPr>
          <w:rStyle w:val="FootnoteReference"/>
        </w:rPr>
        <w:footnoteRef/>
      </w:r>
      <w:r>
        <w:t xml:space="preserve"> </w:t>
      </w:r>
      <w:r w:rsidRPr="007B4319">
        <w:t>“What is a number that Man may know it? What is Man that he may know number?” (McCullough, 1965, p. 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2E4" w:rsidRPr="007A1430" w:rsidRDefault="00841913" w:rsidP="00A34F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701DD"/>
    <w:multiLevelType w:val="multilevel"/>
    <w:tmpl w:val="37F884A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7C470C8C"/>
    <w:multiLevelType w:val="hybridMultilevel"/>
    <w:tmpl w:val="0A00E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Heading1"/>
        <w:lvlText w:val="Chapter %1."/>
        <w:lvlJc w:val="left"/>
        <w:pPr>
          <w:ind w:left="0" w:firstLine="0"/>
        </w:pPr>
        <w:rPr>
          <w:rFonts w:hint="default"/>
        </w:rPr>
      </w:lvl>
    </w:lvlOverride>
    <w:lvlOverride w:ilvl="1">
      <w:lvl w:ilvl="1">
        <w:start w:val="1"/>
        <w:numFmt w:val="none"/>
        <w:pStyle w:val="Heading2"/>
        <w:suff w:val="nothing"/>
        <w:lvlText w:val=""/>
        <w:lvlJc w:val="left"/>
        <w:pPr>
          <w:ind w:left="0" w:firstLine="0"/>
        </w:pPr>
        <w:rPr>
          <w:rFonts w:hint="default"/>
        </w:rPr>
      </w:lvl>
    </w:lvlOverride>
    <w:lvlOverride w:ilvl="2">
      <w:lvl w:ilvl="2">
        <w:start w:val="1"/>
        <w:numFmt w:val="none"/>
        <w:pStyle w:val="Heading3"/>
        <w:suff w:val="nothing"/>
        <w:lvlText w:val=""/>
        <w:lvlJc w:val="left"/>
        <w:pPr>
          <w:ind w:left="0"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none"/>
        <w:pStyle w:val="Heading5"/>
        <w:suff w:val="nothing"/>
        <w:lvlText w:val=""/>
        <w:lvlJc w:val="left"/>
        <w:pPr>
          <w:ind w:left="0" w:firstLine="0"/>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numFmt w:val="decimal"/>
    <w:numRestart w:val="eachSect"/>
    <w:endnote w:id="-1"/>
    <w:endnote w:id="0"/>
  </w:endnotePr>
  <w:compat>
    <w:useFELayout/>
    <w:doNotAutofitConstrainedTables/>
    <w:splitPgBreakAndParaMark/>
    <w:doNotVertAlignCellWithSp/>
    <w:doNotBreakConstrainedForcedTable/>
    <w:useAnsiKerningPairs/>
    <w:cachedColBalance/>
  </w:compat>
  <w:rsids>
    <w:rsidRoot w:val="001639C9"/>
    <w:rsid w:val="00133B1F"/>
    <w:rsid w:val="001341FB"/>
    <w:rsid w:val="001639C9"/>
    <w:rsid w:val="001714BC"/>
    <w:rsid w:val="005B6EC9"/>
    <w:rsid w:val="005E0D59"/>
    <w:rsid w:val="00600E9C"/>
    <w:rsid w:val="007E5E00"/>
    <w:rsid w:val="00841913"/>
    <w:rsid w:val="00862D4F"/>
    <w:rsid w:val="008944BB"/>
    <w:rsid w:val="008D68CD"/>
    <w:rsid w:val="00986D0C"/>
    <w:rsid w:val="00997CB5"/>
    <w:rsid w:val="00B24C23"/>
    <w:rsid w:val="00D71E26"/>
    <w:rsid w:val="00E32E21"/>
    <w:rsid w:val="00ED23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C9"/>
    <w:pPr>
      <w:spacing w:before="300" w:after="120" w:line="360" w:lineRule="auto"/>
      <w:ind w:firstLine="720"/>
      <w:jc w:val="both"/>
    </w:pPr>
    <w:rPr>
      <w:rFonts w:ascii="Arial" w:eastAsia="Calibri" w:hAnsi="Arial" w:cs="Arial"/>
      <w:sz w:val="22"/>
      <w:szCs w:val="22"/>
      <w:lang w:val="en-CA" w:eastAsia="en-US"/>
    </w:rPr>
  </w:style>
  <w:style w:type="paragraph" w:styleId="Heading1">
    <w:name w:val="heading 1"/>
    <w:basedOn w:val="Normal"/>
    <w:next w:val="Normal"/>
    <w:link w:val="Heading1Char"/>
    <w:uiPriority w:val="99"/>
    <w:qFormat/>
    <w:rsid w:val="001639C9"/>
    <w:pPr>
      <w:keepNext/>
      <w:keepLines/>
      <w:pageBreakBefore/>
      <w:numPr>
        <w:numId w:val="1"/>
      </w:numPr>
      <w:spacing w:before="1440" w:after="480" w:line="240" w:lineRule="auto"/>
      <w:jc w:val="left"/>
      <w:outlineLvl w:val="0"/>
    </w:pPr>
    <w:rPr>
      <w:rFonts w:eastAsia="Times New Roman" w:cs="Times New Roman"/>
      <w:b/>
      <w:bCs/>
      <w:sz w:val="34"/>
      <w:szCs w:val="34"/>
    </w:rPr>
  </w:style>
  <w:style w:type="paragraph" w:styleId="Heading2">
    <w:name w:val="heading 2"/>
    <w:basedOn w:val="Normal"/>
    <w:next w:val="Normal"/>
    <w:link w:val="Heading2Char"/>
    <w:uiPriority w:val="99"/>
    <w:qFormat/>
    <w:rsid w:val="001639C9"/>
    <w:pPr>
      <w:keepNext/>
      <w:keepLines/>
      <w:numPr>
        <w:ilvl w:val="1"/>
        <w:numId w:val="1"/>
      </w:numPr>
      <w:spacing w:before="600" w:after="360" w:line="240" w:lineRule="auto"/>
      <w:jc w:val="left"/>
      <w:outlineLvl w:val="1"/>
    </w:pPr>
    <w:rPr>
      <w:rFonts w:eastAsia="Times New Roman" w:cs="Times New Roman"/>
      <w:b/>
      <w:bCs/>
      <w:sz w:val="30"/>
      <w:szCs w:val="30"/>
    </w:rPr>
  </w:style>
  <w:style w:type="paragraph" w:styleId="Heading3">
    <w:name w:val="heading 3"/>
    <w:basedOn w:val="Normal"/>
    <w:next w:val="Normal"/>
    <w:link w:val="Heading3Char"/>
    <w:uiPriority w:val="99"/>
    <w:qFormat/>
    <w:rsid w:val="001639C9"/>
    <w:pPr>
      <w:keepNext/>
      <w:keepLines/>
      <w:numPr>
        <w:ilvl w:val="2"/>
        <w:numId w:val="1"/>
      </w:numPr>
      <w:tabs>
        <w:tab w:val="left" w:pos="1080"/>
      </w:tabs>
      <w:spacing w:before="480" w:after="240" w:line="240" w:lineRule="auto"/>
      <w:jc w:val="left"/>
      <w:outlineLvl w:val="2"/>
    </w:pPr>
    <w:rPr>
      <w:rFonts w:cs="Times New Roman"/>
      <w:b/>
      <w:bCs/>
      <w:sz w:val="26"/>
      <w:szCs w:val="26"/>
    </w:rPr>
  </w:style>
  <w:style w:type="paragraph" w:styleId="Heading4">
    <w:name w:val="heading 4"/>
    <w:basedOn w:val="Normal"/>
    <w:next w:val="Normal"/>
    <w:link w:val="Heading4Char"/>
    <w:uiPriority w:val="99"/>
    <w:qFormat/>
    <w:rsid w:val="001639C9"/>
    <w:pPr>
      <w:keepNext/>
      <w:keepLines/>
      <w:numPr>
        <w:ilvl w:val="3"/>
        <w:numId w:val="1"/>
      </w:numPr>
      <w:spacing w:before="240" w:line="240" w:lineRule="auto"/>
      <w:jc w:val="left"/>
      <w:outlineLvl w:val="3"/>
    </w:pPr>
    <w:rPr>
      <w:rFonts w:eastAsia="Times New Roman" w:cs="Times New Roman"/>
      <w:b/>
      <w:bCs/>
      <w:i/>
      <w:iCs/>
      <w:sz w:val="24"/>
      <w:szCs w:val="24"/>
    </w:rPr>
  </w:style>
  <w:style w:type="paragraph" w:styleId="Heading5">
    <w:name w:val="heading 5"/>
    <w:basedOn w:val="Normal"/>
    <w:next w:val="Normal"/>
    <w:link w:val="Heading5Char"/>
    <w:uiPriority w:val="99"/>
    <w:qFormat/>
    <w:rsid w:val="001639C9"/>
    <w:pPr>
      <w:keepNext/>
      <w:keepLines/>
      <w:numPr>
        <w:ilvl w:val="4"/>
        <w:numId w:val="1"/>
      </w:numPr>
      <w:spacing w:line="240" w:lineRule="auto"/>
      <w:jc w:val="left"/>
      <w:outlineLvl w:val="4"/>
    </w:pPr>
    <w:rPr>
      <w:rFonts w:eastAsia="Times New Roman" w:cs="Times New Roman"/>
      <w:b/>
      <w:lang w:eastAsia="en-CA"/>
    </w:rPr>
  </w:style>
  <w:style w:type="paragraph" w:styleId="Heading6">
    <w:name w:val="heading 6"/>
    <w:basedOn w:val="Normal"/>
    <w:next w:val="Normal"/>
    <w:link w:val="Heading6Char"/>
    <w:uiPriority w:val="99"/>
    <w:qFormat/>
    <w:rsid w:val="001639C9"/>
    <w:pPr>
      <w:keepNext/>
      <w:keepLines/>
      <w:numPr>
        <w:ilvl w:val="5"/>
        <w:numId w:val="1"/>
      </w:numPr>
      <w:spacing w:line="240" w:lineRule="auto"/>
      <w:jc w:val="left"/>
      <w:outlineLvl w:val="5"/>
    </w:pPr>
    <w:rPr>
      <w:b/>
    </w:rPr>
  </w:style>
  <w:style w:type="paragraph" w:styleId="Heading7">
    <w:name w:val="heading 7"/>
    <w:basedOn w:val="Normal"/>
    <w:next w:val="Normal"/>
    <w:link w:val="Heading7Char"/>
    <w:uiPriority w:val="99"/>
    <w:qFormat/>
    <w:rsid w:val="001639C9"/>
    <w:pPr>
      <w:keepNext/>
      <w:keepLines/>
      <w:numPr>
        <w:ilvl w:val="6"/>
        <w:numId w:val="1"/>
      </w:numPr>
      <w:spacing w:before="200" w:after="0" w:line="240" w:lineRule="auto"/>
      <w:jc w:val="left"/>
      <w:outlineLvl w:val="6"/>
    </w:pPr>
    <w:rPr>
      <w:rFonts w:eastAsia="Times New Roman" w:cs="Times New Roman"/>
      <w:b/>
      <w:i/>
      <w:iCs/>
    </w:rPr>
  </w:style>
  <w:style w:type="paragraph" w:styleId="Heading8">
    <w:name w:val="heading 8"/>
    <w:basedOn w:val="Normal"/>
    <w:next w:val="Normal"/>
    <w:link w:val="Heading8Char"/>
    <w:uiPriority w:val="99"/>
    <w:qFormat/>
    <w:rsid w:val="001639C9"/>
    <w:pPr>
      <w:keepNext/>
      <w:keepLines/>
      <w:numPr>
        <w:ilvl w:val="7"/>
        <w:numId w:val="1"/>
      </w:numPr>
      <w:spacing w:before="200" w:after="0"/>
      <w:jc w:val="left"/>
      <w:outlineLvl w:val="7"/>
    </w:pPr>
    <w:rPr>
      <w:rFonts w:eastAsia="Times New Roman" w:cs="Times New Roman"/>
    </w:rPr>
  </w:style>
  <w:style w:type="paragraph" w:styleId="Heading9">
    <w:name w:val="heading 9"/>
    <w:basedOn w:val="Normal"/>
    <w:next w:val="Normal"/>
    <w:link w:val="Heading9Char"/>
    <w:uiPriority w:val="99"/>
    <w:qFormat/>
    <w:rsid w:val="001639C9"/>
    <w:pPr>
      <w:keepNext/>
      <w:keepLines/>
      <w:numPr>
        <w:ilvl w:val="8"/>
        <w:numId w:val="1"/>
      </w:numPr>
      <w:spacing w:line="240" w:lineRule="auto"/>
      <w:jc w:val="left"/>
      <w:outlineLvl w:val="8"/>
    </w:pPr>
    <w:rPr>
      <w:rFonts w:eastAsia="Times New Roman"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39C9"/>
    <w:rPr>
      <w:rFonts w:ascii="Arial" w:eastAsia="Times New Roman" w:hAnsi="Arial" w:cs="Times New Roman"/>
      <w:b/>
      <w:bCs/>
      <w:sz w:val="34"/>
      <w:szCs w:val="34"/>
      <w:lang w:eastAsia="en-US"/>
    </w:rPr>
  </w:style>
  <w:style w:type="character" w:customStyle="1" w:styleId="Heading2Char">
    <w:name w:val="Heading 2 Char"/>
    <w:basedOn w:val="DefaultParagraphFont"/>
    <w:link w:val="Heading2"/>
    <w:uiPriority w:val="99"/>
    <w:rsid w:val="001639C9"/>
    <w:rPr>
      <w:rFonts w:ascii="Arial" w:eastAsia="Times New Roman" w:hAnsi="Arial" w:cs="Times New Roman"/>
      <w:b/>
      <w:bCs/>
      <w:sz w:val="30"/>
      <w:szCs w:val="30"/>
      <w:lang w:val="en-CA" w:eastAsia="en-US"/>
    </w:rPr>
  </w:style>
  <w:style w:type="character" w:customStyle="1" w:styleId="Heading3Char">
    <w:name w:val="Heading 3 Char"/>
    <w:basedOn w:val="DefaultParagraphFont"/>
    <w:link w:val="Heading3"/>
    <w:uiPriority w:val="99"/>
    <w:rsid w:val="001639C9"/>
    <w:rPr>
      <w:rFonts w:ascii="Arial" w:eastAsia="Calibri" w:hAnsi="Arial" w:cs="Times New Roman"/>
      <w:b/>
      <w:bCs/>
      <w:sz w:val="26"/>
      <w:szCs w:val="26"/>
      <w:lang w:val="en-CA" w:eastAsia="en-US"/>
    </w:rPr>
  </w:style>
  <w:style w:type="character" w:customStyle="1" w:styleId="Heading4Char">
    <w:name w:val="Heading 4 Char"/>
    <w:basedOn w:val="DefaultParagraphFont"/>
    <w:link w:val="Heading4"/>
    <w:uiPriority w:val="99"/>
    <w:rsid w:val="001639C9"/>
    <w:rPr>
      <w:rFonts w:ascii="Arial" w:eastAsia="Times New Roman" w:hAnsi="Arial" w:cs="Times New Roman"/>
      <w:b/>
      <w:bCs/>
      <w:i/>
      <w:iCs/>
      <w:lang w:eastAsia="en-US"/>
    </w:rPr>
  </w:style>
  <w:style w:type="character" w:customStyle="1" w:styleId="Heading5Char">
    <w:name w:val="Heading 5 Char"/>
    <w:basedOn w:val="DefaultParagraphFont"/>
    <w:link w:val="Heading5"/>
    <w:uiPriority w:val="99"/>
    <w:rsid w:val="001639C9"/>
    <w:rPr>
      <w:rFonts w:ascii="Arial" w:eastAsia="Times New Roman" w:hAnsi="Arial" w:cs="Times New Roman"/>
      <w:b/>
      <w:sz w:val="22"/>
      <w:szCs w:val="22"/>
      <w:lang w:val="en-CA" w:eastAsia="en-CA"/>
    </w:rPr>
  </w:style>
  <w:style w:type="character" w:customStyle="1" w:styleId="Heading6Char">
    <w:name w:val="Heading 6 Char"/>
    <w:basedOn w:val="DefaultParagraphFont"/>
    <w:link w:val="Heading6"/>
    <w:uiPriority w:val="99"/>
    <w:rsid w:val="001639C9"/>
    <w:rPr>
      <w:rFonts w:ascii="Arial" w:eastAsia="Calibri" w:hAnsi="Arial" w:cs="Arial"/>
      <w:b/>
      <w:sz w:val="22"/>
      <w:szCs w:val="22"/>
      <w:lang w:val="en-CA" w:eastAsia="en-US"/>
    </w:rPr>
  </w:style>
  <w:style w:type="character" w:customStyle="1" w:styleId="Heading7Char">
    <w:name w:val="Heading 7 Char"/>
    <w:basedOn w:val="DefaultParagraphFont"/>
    <w:link w:val="Heading7"/>
    <w:uiPriority w:val="99"/>
    <w:rsid w:val="001639C9"/>
    <w:rPr>
      <w:rFonts w:ascii="Arial" w:eastAsia="Times New Roman" w:hAnsi="Arial" w:cs="Times New Roman"/>
      <w:b/>
      <w:i/>
      <w:iCs/>
      <w:sz w:val="22"/>
      <w:szCs w:val="22"/>
      <w:lang w:eastAsia="en-US"/>
    </w:rPr>
  </w:style>
  <w:style w:type="character" w:customStyle="1" w:styleId="Heading8Char">
    <w:name w:val="Heading 8 Char"/>
    <w:basedOn w:val="DefaultParagraphFont"/>
    <w:link w:val="Heading8"/>
    <w:uiPriority w:val="99"/>
    <w:rsid w:val="001639C9"/>
    <w:rPr>
      <w:rFonts w:ascii="Arial" w:eastAsia="Times New Roman" w:hAnsi="Arial" w:cs="Times New Roman"/>
      <w:sz w:val="22"/>
      <w:szCs w:val="22"/>
      <w:lang w:eastAsia="en-US"/>
    </w:rPr>
  </w:style>
  <w:style w:type="character" w:customStyle="1" w:styleId="Heading9Char">
    <w:name w:val="Heading 9 Char"/>
    <w:basedOn w:val="DefaultParagraphFont"/>
    <w:link w:val="Heading9"/>
    <w:uiPriority w:val="99"/>
    <w:rsid w:val="001639C9"/>
    <w:rPr>
      <w:rFonts w:ascii="Arial" w:eastAsia="Times New Roman" w:hAnsi="Arial" w:cs="Times New Roman"/>
      <w:i/>
      <w:iCs/>
      <w:color w:val="404040"/>
      <w:sz w:val="22"/>
      <w:szCs w:val="22"/>
      <w:lang w:eastAsia="en-US"/>
    </w:rPr>
  </w:style>
  <w:style w:type="paragraph" w:styleId="FootnoteText">
    <w:name w:val="footnote text"/>
    <w:basedOn w:val="Normal"/>
    <w:link w:val="FootnoteTextChar"/>
    <w:uiPriority w:val="99"/>
    <w:rsid w:val="001639C9"/>
    <w:pPr>
      <w:keepLines/>
      <w:spacing w:before="0" w:after="60" w:line="240" w:lineRule="auto"/>
      <w:ind w:left="180" w:hanging="180"/>
      <w:jc w:val="left"/>
    </w:pPr>
    <w:rPr>
      <w:rFonts w:cs="Times New Roman"/>
      <w:sz w:val="20"/>
      <w:szCs w:val="20"/>
    </w:rPr>
  </w:style>
  <w:style w:type="character" w:customStyle="1" w:styleId="FootnoteTextChar">
    <w:name w:val="Footnote Text Char"/>
    <w:basedOn w:val="DefaultParagraphFont"/>
    <w:link w:val="FootnoteText"/>
    <w:uiPriority w:val="99"/>
    <w:rsid w:val="001639C9"/>
    <w:rPr>
      <w:rFonts w:ascii="Arial" w:eastAsia="Calibri" w:hAnsi="Arial" w:cs="Times New Roman"/>
      <w:sz w:val="20"/>
      <w:szCs w:val="20"/>
      <w:lang w:val="en-CA" w:eastAsia="en-US"/>
    </w:rPr>
  </w:style>
  <w:style w:type="character" w:styleId="FootnoteReference">
    <w:name w:val="footnote reference"/>
    <w:uiPriority w:val="99"/>
    <w:rsid w:val="001639C9"/>
    <w:rPr>
      <w:vertAlign w:val="superscript"/>
    </w:rPr>
  </w:style>
  <w:style w:type="paragraph" w:styleId="Header">
    <w:name w:val="header"/>
    <w:basedOn w:val="Normal"/>
    <w:link w:val="HeaderChar"/>
    <w:uiPriority w:val="99"/>
    <w:unhideWhenUsed/>
    <w:rsid w:val="001639C9"/>
    <w:pPr>
      <w:tabs>
        <w:tab w:val="center" w:pos="4320"/>
        <w:tab w:val="right" w:pos="8640"/>
      </w:tabs>
      <w:spacing w:before="0" w:after="360" w:line="240" w:lineRule="auto"/>
      <w:ind w:firstLine="0"/>
      <w:jc w:val="left"/>
    </w:pPr>
    <w:rPr>
      <w:rFonts w:cs="Times New Roman"/>
    </w:rPr>
  </w:style>
  <w:style w:type="character" w:customStyle="1" w:styleId="HeaderChar">
    <w:name w:val="Header Char"/>
    <w:basedOn w:val="DefaultParagraphFont"/>
    <w:link w:val="Header"/>
    <w:uiPriority w:val="99"/>
    <w:rsid w:val="001639C9"/>
    <w:rPr>
      <w:rFonts w:ascii="Arial" w:eastAsia="Calibri" w:hAnsi="Arial" w:cs="Times New Roman"/>
      <w:sz w:val="22"/>
      <w:szCs w:val="22"/>
      <w:lang w:eastAsia="en-US"/>
    </w:rPr>
  </w:style>
  <w:style w:type="paragraph" w:customStyle="1" w:styleId="5ReferencesNormal">
    <w:name w:val="5_References_Normal"/>
    <w:basedOn w:val="Bibliography"/>
    <w:uiPriority w:val="99"/>
    <w:rsid w:val="001639C9"/>
    <w:pPr>
      <w:keepLines/>
      <w:spacing w:line="240" w:lineRule="auto"/>
      <w:ind w:left="720" w:hanging="720"/>
      <w:jc w:val="left"/>
    </w:pPr>
  </w:style>
  <w:style w:type="paragraph" w:styleId="ListParagraph">
    <w:name w:val="List Paragraph"/>
    <w:basedOn w:val="Normal"/>
    <w:uiPriority w:val="34"/>
    <w:qFormat/>
    <w:rsid w:val="001639C9"/>
    <w:pPr>
      <w:spacing w:line="240" w:lineRule="auto"/>
      <w:ind w:left="720" w:firstLine="0"/>
    </w:pPr>
  </w:style>
  <w:style w:type="paragraph" w:styleId="Bibliography">
    <w:name w:val="Bibliography"/>
    <w:basedOn w:val="Normal"/>
    <w:next w:val="Normal"/>
    <w:uiPriority w:val="37"/>
    <w:semiHidden/>
    <w:unhideWhenUsed/>
    <w:rsid w:val="001639C9"/>
  </w:style>
  <w:style w:type="character" w:customStyle="1" w:styleId="rwrro">
    <w:name w:val="rwrro"/>
    <w:basedOn w:val="DefaultParagraphFont"/>
    <w:rsid w:val="007E5E00"/>
  </w:style>
  <w:style w:type="paragraph" w:styleId="BalloonText">
    <w:name w:val="Balloon Text"/>
    <w:basedOn w:val="Normal"/>
    <w:link w:val="BalloonTextChar"/>
    <w:uiPriority w:val="99"/>
    <w:semiHidden/>
    <w:unhideWhenUsed/>
    <w:rsid w:val="007E5E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00"/>
    <w:rPr>
      <w:rFonts w:ascii="Tahoma" w:eastAsia="Calibri" w:hAnsi="Tahoma" w:cs="Tahoma"/>
      <w:sz w:val="16"/>
      <w:szCs w:val="16"/>
      <w:lang w:val="en-CA" w:eastAsia="en-US"/>
    </w:rPr>
  </w:style>
  <w:style w:type="character" w:customStyle="1" w:styleId="apple-converted-space">
    <w:name w:val="apple-converted-space"/>
    <w:basedOn w:val="DefaultParagraphFont"/>
    <w:rsid w:val="007E5E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C9"/>
    <w:pPr>
      <w:spacing w:before="300" w:after="120" w:line="360" w:lineRule="auto"/>
      <w:ind w:firstLine="720"/>
      <w:jc w:val="both"/>
    </w:pPr>
    <w:rPr>
      <w:rFonts w:ascii="Arial" w:eastAsia="Calibri" w:hAnsi="Arial" w:cs="Arial"/>
      <w:sz w:val="22"/>
      <w:szCs w:val="22"/>
      <w:lang w:val="en-CA" w:eastAsia="en-US"/>
    </w:rPr>
  </w:style>
  <w:style w:type="paragraph" w:styleId="Heading1">
    <w:name w:val="heading 1"/>
    <w:basedOn w:val="Normal"/>
    <w:next w:val="Normal"/>
    <w:link w:val="Heading1Char"/>
    <w:uiPriority w:val="99"/>
    <w:qFormat/>
    <w:rsid w:val="001639C9"/>
    <w:pPr>
      <w:keepNext/>
      <w:keepLines/>
      <w:pageBreakBefore/>
      <w:numPr>
        <w:numId w:val="1"/>
      </w:numPr>
      <w:spacing w:before="1440" w:after="480" w:line="240" w:lineRule="auto"/>
      <w:jc w:val="left"/>
      <w:outlineLvl w:val="0"/>
    </w:pPr>
    <w:rPr>
      <w:rFonts w:eastAsia="Times New Roman" w:cs="Times New Roman"/>
      <w:b/>
      <w:bCs/>
      <w:sz w:val="34"/>
      <w:szCs w:val="34"/>
      <w:lang w:val="x-none"/>
    </w:rPr>
  </w:style>
  <w:style w:type="paragraph" w:styleId="Heading2">
    <w:name w:val="heading 2"/>
    <w:basedOn w:val="Normal"/>
    <w:next w:val="Normal"/>
    <w:link w:val="Heading2Char"/>
    <w:uiPriority w:val="99"/>
    <w:qFormat/>
    <w:rsid w:val="001639C9"/>
    <w:pPr>
      <w:keepNext/>
      <w:keepLines/>
      <w:numPr>
        <w:ilvl w:val="1"/>
        <w:numId w:val="1"/>
      </w:numPr>
      <w:spacing w:before="600" w:after="360" w:line="240" w:lineRule="auto"/>
      <w:jc w:val="left"/>
      <w:outlineLvl w:val="1"/>
    </w:pPr>
    <w:rPr>
      <w:rFonts w:eastAsia="Times New Roman" w:cs="Times New Roman"/>
      <w:b/>
      <w:bCs/>
      <w:sz w:val="30"/>
      <w:szCs w:val="30"/>
    </w:rPr>
  </w:style>
  <w:style w:type="paragraph" w:styleId="Heading3">
    <w:name w:val="heading 3"/>
    <w:basedOn w:val="Normal"/>
    <w:next w:val="Normal"/>
    <w:link w:val="Heading3Char"/>
    <w:uiPriority w:val="99"/>
    <w:qFormat/>
    <w:rsid w:val="001639C9"/>
    <w:pPr>
      <w:keepNext/>
      <w:keepLines/>
      <w:numPr>
        <w:ilvl w:val="2"/>
        <w:numId w:val="1"/>
      </w:numPr>
      <w:tabs>
        <w:tab w:val="left" w:pos="1080"/>
      </w:tabs>
      <w:spacing w:before="480" w:after="240" w:line="240" w:lineRule="auto"/>
      <w:jc w:val="left"/>
      <w:outlineLvl w:val="2"/>
    </w:pPr>
    <w:rPr>
      <w:rFonts w:cs="Times New Roman"/>
      <w:b/>
      <w:bCs/>
      <w:sz w:val="26"/>
      <w:szCs w:val="26"/>
    </w:rPr>
  </w:style>
  <w:style w:type="paragraph" w:styleId="Heading4">
    <w:name w:val="heading 4"/>
    <w:basedOn w:val="Normal"/>
    <w:next w:val="Normal"/>
    <w:link w:val="Heading4Char"/>
    <w:uiPriority w:val="99"/>
    <w:qFormat/>
    <w:rsid w:val="001639C9"/>
    <w:pPr>
      <w:keepNext/>
      <w:keepLines/>
      <w:numPr>
        <w:ilvl w:val="3"/>
        <w:numId w:val="1"/>
      </w:numPr>
      <w:spacing w:before="240" w:line="240" w:lineRule="auto"/>
      <w:jc w:val="left"/>
      <w:outlineLvl w:val="3"/>
    </w:pPr>
    <w:rPr>
      <w:rFonts w:eastAsia="Times New Roman" w:cs="Times New Roman"/>
      <w:b/>
      <w:bCs/>
      <w:i/>
      <w:iCs/>
      <w:sz w:val="24"/>
      <w:szCs w:val="24"/>
      <w:lang w:val="x-none"/>
    </w:rPr>
  </w:style>
  <w:style w:type="paragraph" w:styleId="Heading5">
    <w:name w:val="heading 5"/>
    <w:basedOn w:val="Normal"/>
    <w:next w:val="Normal"/>
    <w:link w:val="Heading5Char"/>
    <w:uiPriority w:val="99"/>
    <w:qFormat/>
    <w:rsid w:val="001639C9"/>
    <w:pPr>
      <w:keepNext/>
      <w:keepLines/>
      <w:numPr>
        <w:ilvl w:val="4"/>
        <w:numId w:val="1"/>
      </w:numPr>
      <w:spacing w:line="240" w:lineRule="auto"/>
      <w:jc w:val="left"/>
      <w:outlineLvl w:val="4"/>
    </w:pPr>
    <w:rPr>
      <w:rFonts w:eastAsia="Times New Roman" w:cs="Times New Roman"/>
      <w:b/>
      <w:lang w:eastAsia="en-CA"/>
    </w:rPr>
  </w:style>
  <w:style w:type="paragraph" w:styleId="Heading6">
    <w:name w:val="heading 6"/>
    <w:basedOn w:val="Normal"/>
    <w:next w:val="Normal"/>
    <w:link w:val="Heading6Char"/>
    <w:uiPriority w:val="99"/>
    <w:qFormat/>
    <w:rsid w:val="001639C9"/>
    <w:pPr>
      <w:keepNext/>
      <w:keepLines/>
      <w:numPr>
        <w:ilvl w:val="5"/>
        <w:numId w:val="1"/>
      </w:numPr>
      <w:spacing w:line="240" w:lineRule="auto"/>
      <w:jc w:val="left"/>
      <w:outlineLvl w:val="5"/>
    </w:pPr>
    <w:rPr>
      <w:b/>
    </w:rPr>
  </w:style>
  <w:style w:type="paragraph" w:styleId="Heading7">
    <w:name w:val="heading 7"/>
    <w:basedOn w:val="Normal"/>
    <w:next w:val="Normal"/>
    <w:link w:val="Heading7Char"/>
    <w:uiPriority w:val="99"/>
    <w:qFormat/>
    <w:rsid w:val="001639C9"/>
    <w:pPr>
      <w:keepNext/>
      <w:keepLines/>
      <w:numPr>
        <w:ilvl w:val="6"/>
        <w:numId w:val="1"/>
      </w:numPr>
      <w:spacing w:before="200" w:after="0" w:line="240" w:lineRule="auto"/>
      <w:jc w:val="left"/>
      <w:outlineLvl w:val="6"/>
    </w:pPr>
    <w:rPr>
      <w:rFonts w:eastAsia="Times New Roman" w:cs="Times New Roman"/>
      <w:b/>
      <w:i/>
      <w:iCs/>
      <w:lang w:val="x-none"/>
    </w:rPr>
  </w:style>
  <w:style w:type="paragraph" w:styleId="Heading8">
    <w:name w:val="heading 8"/>
    <w:basedOn w:val="Normal"/>
    <w:next w:val="Normal"/>
    <w:link w:val="Heading8Char"/>
    <w:uiPriority w:val="99"/>
    <w:qFormat/>
    <w:rsid w:val="001639C9"/>
    <w:pPr>
      <w:keepNext/>
      <w:keepLines/>
      <w:numPr>
        <w:ilvl w:val="7"/>
        <w:numId w:val="1"/>
      </w:numPr>
      <w:spacing w:before="200" w:after="0"/>
      <w:jc w:val="left"/>
      <w:outlineLvl w:val="7"/>
    </w:pPr>
    <w:rPr>
      <w:rFonts w:eastAsia="Times New Roman" w:cs="Times New Roman"/>
      <w:lang w:val="x-none"/>
    </w:rPr>
  </w:style>
  <w:style w:type="paragraph" w:styleId="Heading9">
    <w:name w:val="heading 9"/>
    <w:basedOn w:val="Normal"/>
    <w:next w:val="Normal"/>
    <w:link w:val="Heading9Char"/>
    <w:uiPriority w:val="99"/>
    <w:qFormat/>
    <w:rsid w:val="001639C9"/>
    <w:pPr>
      <w:keepNext/>
      <w:keepLines/>
      <w:numPr>
        <w:ilvl w:val="8"/>
        <w:numId w:val="1"/>
      </w:numPr>
      <w:spacing w:line="240" w:lineRule="auto"/>
      <w:jc w:val="left"/>
      <w:outlineLvl w:val="8"/>
    </w:pPr>
    <w:rPr>
      <w:rFonts w:eastAsia="Times New Roman" w:cs="Times New Roman"/>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39C9"/>
    <w:rPr>
      <w:rFonts w:ascii="Arial" w:eastAsia="Times New Roman" w:hAnsi="Arial" w:cs="Times New Roman"/>
      <w:b/>
      <w:bCs/>
      <w:sz w:val="34"/>
      <w:szCs w:val="34"/>
      <w:lang w:val="x-none" w:eastAsia="en-US"/>
    </w:rPr>
  </w:style>
  <w:style w:type="character" w:customStyle="1" w:styleId="Heading2Char">
    <w:name w:val="Heading 2 Char"/>
    <w:basedOn w:val="DefaultParagraphFont"/>
    <w:link w:val="Heading2"/>
    <w:uiPriority w:val="99"/>
    <w:rsid w:val="001639C9"/>
    <w:rPr>
      <w:rFonts w:ascii="Arial" w:eastAsia="Times New Roman" w:hAnsi="Arial" w:cs="Times New Roman"/>
      <w:b/>
      <w:bCs/>
      <w:sz w:val="30"/>
      <w:szCs w:val="30"/>
      <w:lang w:val="en-CA" w:eastAsia="en-US"/>
    </w:rPr>
  </w:style>
  <w:style w:type="character" w:customStyle="1" w:styleId="Heading3Char">
    <w:name w:val="Heading 3 Char"/>
    <w:basedOn w:val="DefaultParagraphFont"/>
    <w:link w:val="Heading3"/>
    <w:uiPriority w:val="99"/>
    <w:rsid w:val="001639C9"/>
    <w:rPr>
      <w:rFonts w:ascii="Arial" w:eastAsia="Calibri" w:hAnsi="Arial" w:cs="Times New Roman"/>
      <w:b/>
      <w:bCs/>
      <w:sz w:val="26"/>
      <w:szCs w:val="26"/>
      <w:lang w:val="en-CA" w:eastAsia="en-US"/>
    </w:rPr>
  </w:style>
  <w:style w:type="character" w:customStyle="1" w:styleId="Heading4Char">
    <w:name w:val="Heading 4 Char"/>
    <w:basedOn w:val="DefaultParagraphFont"/>
    <w:link w:val="Heading4"/>
    <w:uiPriority w:val="99"/>
    <w:rsid w:val="001639C9"/>
    <w:rPr>
      <w:rFonts w:ascii="Arial" w:eastAsia="Times New Roman" w:hAnsi="Arial" w:cs="Times New Roman"/>
      <w:b/>
      <w:bCs/>
      <w:i/>
      <w:iCs/>
      <w:lang w:val="x-none" w:eastAsia="en-US"/>
    </w:rPr>
  </w:style>
  <w:style w:type="character" w:customStyle="1" w:styleId="Heading5Char">
    <w:name w:val="Heading 5 Char"/>
    <w:basedOn w:val="DefaultParagraphFont"/>
    <w:link w:val="Heading5"/>
    <w:uiPriority w:val="99"/>
    <w:rsid w:val="001639C9"/>
    <w:rPr>
      <w:rFonts w:ascii="Arial" w:eastAsia="Times New Roman" w:hAnsi="Arial" w:cs="Times New Roman"/>
      <w:b/>
      <w:sz w:val="22"/>
      <w:szCs w:val="22"/>
      <w:lang w:val="en-CA" w:eastAsia="en-CA"/>
    </w:rPr>
  </w:style>
  <w:style w:type="character" w:customStyle="1" w:styleId="Heading6Char">
    <w:name w:val="Heading 6 Char"/>
    <w:basedOn w:val="DefaultParagraphFont"/>
    <w:link w:val="Heading6"/>
    <w:uiPriority w:val="99"/>
    <w:rsid w:val="001639C9"/>
    <w:rPr>
      <w:rFonts w:ascii="Arial" w:eastAsia="Calibri" w:hAnsi="Arial" w:cs="Arial"/>
      <w:b/>
      <w:sz w:val="22"/>
      <w:szCs w:val="22"/>
      <w:lang w:val="en-CA" w:eastAsia="en-US"/>
    </w:rPr>
  </w:style>
  <w:style w:type="character" w:customStyle="1" w:styleId="Heading7Char">
    <w:name w:val="Heading 7 Char"/>
    <w:basedOn w:val="DefaultParagraphFont"/>
    <w:link w:val="Heading7"/>
    <w:uiPriority w:val="99"/>
    <w:rsid w:val="001639C9"/>
    <w:rPr>
      <w:rFonts w:ascii="Arial" w:eastAsia="Times New Roman" w:hAnsi="Arial" w:cs="Times New Roman"/>
      <w:b/>
      <w:i/>
      <w:iCs/>
      <w:sz w:val="22"/>
      <w:szCs w:val="22"/>
      <w:lang w:val="x-none" w:eastAsia="en-US"/>
    </w:rPr>
  </w:style>
  <w:style w:type="character" w:customStyle="1" w:styleId="Heading8Char">
    <w:name w:val="Heading 8 Char"/>
    <w:basedOn w:val="DefaultParagraphFont"/>
    <w:link w:val="Heading8"/>
    <w:uiPriority w:val="99"/>
    <w:rsid w:val="001639C9"/>
    <w:rPr>
      <w:rFonts w:ascii="Arial" w:eastAsia="Times New Roman" w:hAnsi="Arial" w:cs="Times New Roman"/>
      <w:sz w:val="22"/>
      <w:szCs w:val="22"/>
      <w:lang w:val="x-none" w:eastAsia="en-US"/>
    </w:rPr>
  </w:style>
  <w:style w:type="character" w:customStyle="1" w:styleId="Heading9Char">
    <w:name w:val="Heading 9 Char"/>
    <w:basedOn w:val="DefaultParagraphFont"/>
    <w:link w:val="Heading9"/>
    <w:uiPriority w:val="99"/>
    <w:rsid w:val="001639C9"/>
    <w:rPr>
      <w:rFonts w:ascii="Arial" w:eastAsia="Times New Roman" w:hAnsi="Arial" w:cs="Times New Roman"/>
      <w:i/>
      <w:iCs/>
      <w:color w:val="404040"/>
      <w:sz w:val="22"/>
      <w:szCs w:val="22"/>
      <w:lang w:val="x-none" w:eastAsia="en-US"/>
    </w:rPr>
  </w:style>
  <w:style w:type="paragraph" w:styleId="FootnoteText">
    <w:name w:val="footnote text"/>
    <w:basedOn w:val="Normal"/>
    <w:link w:val="FootnoteTextChar"/>
    <w:uiPriority w:val="99"/>
    <w:rsid w:val="001639C9"/>
    <w:pPr>
      <w:keepLines/>
      <w:spacing w:before="0" w:after="60" w:line="240" w:lineRule="auto"/>
      <w:ind w:left="180" w:hanging="180"/>
      <w:jc w:val="left"/>
    </w:pPr>
    <w:rPr>
      <w:rFonts w:cs="Times New Roman"/>
      <w:sz w:val="20"/>
      <w:szCs w:val="20"/>
    </w:rPr>
  </w:style>
  <w:style w:type="character" w:customStyle="1" w:styleId="FootnoteTextChar">
    <w:name w:val="Footnote Text Char"/>
    <w:basedOn w:val="DefaultParagraphFont"/>
    <w:link w:val="FootnoteText"/>
    <w:uiPriority w:val="99"/>
    <w:rsid w:val="001639C9"/>
    <w:rPr>
      <w:rFonts w:ascii="Arial" w:eastAsia="Calibri" w:hAnsi="Arial" w:cs="Times New Roman"/>
      <w:sz w:val="20"/>
      <w:szCs w:val="20"/>
      <w:lang w:val="en-CA" w:eastAsia="en-US"/>
    </w:rPr>
  </w:style>
  <w:style w:type="character" w:styleId="FootnoteReference">
    <w:name w:val="footnote reference"/>
    <w:uiPriority w:val="99"/>
    <w:rsid w:val="001639C9"/>
    <w:rPr>
      <w:vertAlign w:val="superscript"/>
    </w:rPr>
  </w:style>
  <w:style w:type="paragraph" w:styleId="Header">
    <w:name w:val="header"/>
    <w:basedOn w:val="Normal"/>
    <w:link w:val="HeaderChar"/>
    <w:uiPriority w:val="99"/>
    <w:unhideWhenUsed/>
    <w:rsid w:val="001639C9"/>
    <w:pPr>
      <w:tabs>
        <w:tab w:val="center" w:pos="4320"/>
        <w:tab w:val="right" w:pos="8640"/>
      </w:tabs>
      <w:spacing w:before="0" w:after="360" w:line="240" w:lineRule="auto"/>
      <w:ind w:firstLine="0"/>
      <w:jc w:val="left"/>
    </w:pPr>
    <w:rPr>
      <w:rFonts w:cs="Times New Roman"/>
      <w:lang w:val="x-none"/>
    </w:rPr>
  </w:style>
  <w:style w:type="character" w:customStyle="1" w:styleId="HeaderChar">
    <w:name w:val="Header Char"/>
    <w:basedOn w:val="DefaultParagraphFont"/>
    <w:link w:val="Header"/>
    <w:uiPriority w:val="99"/>
    <w:rsid w:val="001639C9"/>
    <w:rPr>
      <w:rFonts w:ascii="Arial" w:eastAsia="Calibri" w:hAnsi="Arial" w:cs="Times New Roman"/>
      <w:sz w:val="22"/>
      <w:szCs w:val="22"/>
      <w:lang w:val="x-none" w:eastAsia="en-US"/>
    </w:rPr>
  </w:style>
  <w:style w:type="paragraph" w:customStyle="1" w:styleId="5ReferencesNormal">
    <w:name w:val="5_References_Normal"/>
    <w:basedOn w:val="Bibliography"/>
    <w:uiPriority w:val="99"/>
    <w:rsid w:val="001639C9"/>
    <w:pPr>
      <w:keepLines/>
      <w:spacing w:line="240" w:lineRule="auto"/>
      <w:ind w:left="720" w:hanging="720"/>
      <w:jc w:val="left"/>
    </w:pPr>
  </w:style>
  <w:style w:type="paragraph" w:styleId="ListParagraph">
    <w:name w:val="List Paragraph"/>
    <w:basedOn w:val="Normal"/>
    <w:uiPriority w:val="34"/>
    <w:qFormat/>
    <w:rsid w:val="001639C9"/>
    <w:pPr>
      <w:spacing w:line="240" w:lineRule="auto"/>
      <w:ind w:left="720" w:firstLine="0"/>
    </w:pPr>
  </w:style>
  <w:style w:type="paragraph" w:styleId="Bibliography">
    <w:name w:val="Bibliography"/>
    <w:basedOn w:val="Normal"/>
    <w:next w:val="Normal"/>
    <w:uiPriority w:val="37"/>
    <w:semiHidden/>
    <w:unhideWhenUsed/>
    <w:rsid w:val="001639C9"/>
  </w:style>
</w:styles>
</file>

<file path=word/webSettings.xml><?xml version="1.0" encoding="utf-8"?>
<w:webSettings xmlns:r="http://schemas.openxmlformats.org/officeDocument/2006/relationships" xmlns:w="http://schemas.openxmlformats.org/wordprocessingml/2006/main">
  <w:divs>
    <w:div w:id="1417630259">
      <w:bodyDiv w:val="1"/>
      <w:marLeft w:val="0"/>
      <w:marRight w:val="0"/>
      <w:marTop w:val="0"/>
      <w:marBottom w:val="0"/>
      <w:divBdr>
        <w:top w:val="none" w:sz="0" w:space="0" w:color="auto"/>
        <w:left w:val="none" w:sz="0" w:space="0" w:color="auto"/>
        <w:bottom w:val="none" w:sz="0" w:space="0" w:color="auto"/>
        <w:right w:val="none" w:sz="0" w:space="0" w:color="auto"/>
      </w:divBdr>
      <w:divsChild>
        <w:div w:id="18150233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ademia.edu/2013047/Herbel-Eisenmann_B._2007_._From_intended_curriculum_to_written_curriculum_Examining_the_voice_of_a_mathematics_textbook._Journal_for_Research_in_Mathematics_Education_38_4_344-3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7526</Words>
  <Characters>42904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trana girl</Company>
  <LinksUpToDate>false</LinksUpToDate>
  <CharactersWithSpaces>50330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chorney</dc:creator>
  <cp:lastModifiedBy>Paul</cp:lastModifiedBy>
  <cp:revision>3</cp:revision>
  <dcterms:created xsi:type="dcterms:W3CDTF">2014-11-12T16:10:00Z</dcterms:created>
  <dcterms:modified xsi:type="dcterms:W3CDTF">2015-07-09T12:29:00Z</dcterms:modified>
</cp:coreProperties>
</file>